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3D8" w:rsidRPr="004233D8" w:rsidRDefault="004233D8" w:rsidP="004233D8">
      <w:pPr>
        <w:pStyle w:val="NormalWeb"/>
        <w:spacing w:before="0" w:beforeAutospacing="0" w:after="0" w:afterAutospacing="0"/>
        <w:jc w:val="center"/>
        <w:rPr>
          <w:rFonts w:ascii="Aref Ruqaa" w:hAnsi="Aref Ruqaa" w:cs="Aref Ruqaa"/>
          <w:b/>
          <w:bCs/>
          <w:color w:val="000000"/>
          <w:sz w:val="32"/>
          <w:szCs w:val="32"/>
        </w:rPr>
      </w:pPr>
      <w:bookmarkStart w:id="0" w:name="_GoBack"/>
      <w:r w:rsidRPr="004233D8">
        <w:rPr>
          <w:rFonts w:ascii="Aref Ruqaa" w:hAnsi="Aref Ruqaa" w:cs="Aref Ruqaa"/>
          <w:b/>
          <w:bCs/>
          <w:color w:val="000000"/>
          <w:sz w:val="32"/>
          <w:szCs w:val="32"/>
        </w:rPr>
        <w:t>L’économie Marocaine depuis l’indépendance</w:t>
      </w:r>
    </w:p>
    <w:p w:rsidR="005357AB" w:rsidRPr="004233D8" w:rsidRDefault="005357AB" w:rsidP="005357AB">
      <w:pPr>
        <w:pStyle w:val="NormalWeb"/>
        <w:spacing w:before="0" w:beforeAutospacing="0" w:after="0" w:afterAutospacing="0"/>
        <w:rPr>
          <w:rFonts w:ascii="Aref Ruqaa" w:hAnsi="Aref Ruqaa" w:cs="Aref Ruqaa"/>
          <w:sz w:val="32"/>
          <w:szCs w:val="32"/>
          <w14:glow w14:rad="228600">
            <w14:schemeClr w14:val="accent2">
              <w14:alpha w14:val="60000"/>
              <w14:satMod w14:val="175000"/>
            </w14:schemeClr>
          </w14:glow>
        </w:rPr>
      </w:pPr>
      <w:r w:rsidRPr="004233D8">
        <w:rPr>
          <w:rFonts w:ascii="Aref Ruqaa" w:hAnsi="Aref Ruqaa" w:cs="Aref Ruqaa"/>
          <w:color w:val="000000"/>
          <w:sz w:val="32"/>
          <w:szCs w:val="32"/>
          <w14:glow w14:rad="228600">
            <w14:schemeClr w14:val="accent2">
              <w14:alpha w14:val="60000"/>
              <w14:satMod w14:val="175000"/>
            </w14:schemeClr>
          </w14:glow>
        </w:rPr>
        <w:t>L’Indépendance au Maroc fut proclamée officiellement en 1956.</w:t>
      </w:r>
    </w:p>
    <w:p w:rsidR="005357AB" w:rsidRPr="004233D8" w:rsidRDefault="005357AB" w:rsidP="005357AB">
      <w:pPr>
        <w:pStyle w:val="NormalWeb"/>
        <w:spacing w:before="0" w:beforeAutospacing="0" w:after="0" w:afterAutospacing="0"/>
        <w:rPr>
          <w:rFonts w:ascii="Aref Ruqaa" w:hAnsi="Aref Ruqaa" w:cs="Aref Ruqaa"/>
          <w:sz w:val="32"/>
          <w:szCs w:val="32"/>
          <w14:glow w14:rad="228600">
            <w14:schemeClr w14:val="accent2">
              <w14:alpha w14:val="60000"/>
              <w14:satMod w14:val="175000"/>
            </w14:schemeClr>
          </w14:glow>
        </w:rPr>
      </w:pPr>
      <w:r w:rsidRPr="004233D8">
        <w:rPr>
          <w:rFonts w:ascii="Aref Ruqaa" w:hAnsi="Aref Ruqaa" w:cs="Aref Ruqaa"/>
          <w:color w:val="000000"/>
          <w:sz w:val="32"/>
          <w:szCs w:val="32"/>
          <w14:glow w14:rad="228600">
            <w14:schemeClr w14:val="accent2">
              <w14:alpha w14:val="60000"/>
              <w14:satMod w14:val="175000"/>
            </w14:schemeClr>
          </w14:glow>
        </w:rPr>
        <w:t>Au lendemain de cette indépendance, les problèmes économiques apparurent dans toute leur acuité avec notamment une chute importante des investissements, la fuite des capitaux, l’accélération de l’exode rural et l’aggravation du chômage.</w:t>
      </w:r>
    </w:p>
    <w:p w:rsidR="005357AB" w:rsidRPr="004233D8" w:rsidRDefault="005357AB" w:rsidP="005357AB">
      <w:pPr>
        <w:pStyle w:val="NormalWeb"/>
        <w:spacing w:before="0" w:beforeAutospacing="0" w:after="0" w:afterAutospacing="0"/>
        <w:rPr>
          <w:rFonts w:ascii="Aref Ruqaa" w:hAnsi="Aref Ruqaa" w:cs="Aref Ruqaa"/>
          <w:sz w:val="32"/>
          <w:szCs w:val="32"/>
          <w14:glow w14:rad="228600">
            <w14:schemeClr w14:val="accent1">
              <w14:alpha w14:val="60000"/>
              <w14:satMod w14:val="175000"/>
            </w14:schemeClr>
          </w14:glow>
        </w:rPr>
      </w:pPr>
      <w:r w:rsidRPr="004233D8">
        <w:rPr>
          <w:rFonts w:ascii="Aref Ruqaa" w:hAnsi="Aref Ruqaa" w:cs="Aref Ruqaa"/>
          <w:color w:val="000000"/>
          <w:sz w:val="32"/>
          <w:szCs w:val="32"/>
          <w14:glow w14:rad="228600">
            <w14:schemeClr w14:val="accent1">
              <w14:alpha w14:val="60000"/>
              <w14:satMod w14:val="175000"/>
            </w14:schemeClr>
          </w14:glow>
        </w:rPr>
        <w:t>En fait, le principal problème qui se posait était celui d’une reconversion profonde des structures économiques qui avaient été façonnées par plus de 40 ans de régime colonial, et là création des conditions sociales politiques et culturelles d’un véritable décollage économique.</w:t>
      </w:r>
    </w:p>
    <w:p w:rsidR="005357AB" w:rsidRPr="004233D8" w:rsidRDefault="005357AB" w:rsidP="00057CC9">
      <w:pPr>
        <w:pStyle w:val="NormalWeb"/>
        <w:spacing w:before="0" w:beforeAutospacing="0" w:after="0" w:afterAutospacing="0"/>
        <w:rPr>
          <w:rFonts w:ascii="Aref Ruqaa" w:hAnsi="Aref Ruqaa" w:cs="Aref Ruqaa"/>
          <w:sz w:val="32"/>
          <w:szCs w:val="32"/>
          <w14:glow w14:rad="228600">
            <w14:schemeClr w14:val="accent1">
              <w14:alpha w14:val="60000"/>
              <w14:satMod w14:val="175000"/>
            </w14:schemeClr>
          </w14:glow>
        </w:rPr>
      </w:pPr>
      <w:r w:rsidRPr="004233D8">
        <w:rPr>
          <w:rFonts w:ascii="Aref Ruqaa" w:hAnsi="Aref Ruqaa" w:cs="Aref Ruqaa"/>
          <w:color w:val="000000"/>
          <w:sz w:val="32"/>
          <w:szCs w:val="32"/>
          <w14:glow w14:rad="228600">
            <w14:schemeClr w14:val="accent1">
              <w14:alpha w14:val="60000"/>
              <w14:satMod w14:val="175000"/>
            </w14:schemeClr>
          </w14:glow>
        </w:rPr>
        <w:t>À partir des années 1960, trois plans furent successivement mis en œuvre</w:t>
      </w:r>
      <w:r w:rsidR="00057CC9" w:rsidRPr="004233D8">
        <w:rPr>
          <w:rFonts w:ascii="Aref Ruqaa" w:hAnsi="Aref Ruqaa" w:cs="Aref Ruqaa"/>
          <w:color w:val="000000"/>
          <w:sz w:val="32"/>
          <w:szCs w:val="32"/>
          <w14:glow w14:rad="228600">
            <w14:schemeClr w14:val="accent1">
              <w14:alpha w14:val="60000"/>
              <w14:satMod w14:val="175000"/>
            </w14:schemeClr>
          </w14:glow>
        </w:rPr>
        <w:t xml:space="preserve"> : Le Plan Quinquennal, </w:t>
      </w:r>
      <w:r w:rsidRPr="004233D8">
        <w:rPr>
          <w:rFonts w:ascii="Aref Ruqaa" w:hAnsi="Aref Ruqaa" w:cs="Aref Ruqaa"/>
          <w:color w:val="000000"/>
          <w:sz w:val="32"/>
          <w:szCs w:val="32"/>
          <w14:glow w14:rad="228600">
            <w14:schemeClr w14:val="accent1">
              <w14:alpha w14:val="60000"/>
              <w14:satMod w14:val="175000"/>
            </w14:schemeClr>
          </w14:glow>
        </w:rPr>
        <w:t xml:space="preserve">le plan Triennal </w:t>
      </w:r>
      <w:r w:rsidR="00057CC9" w:rsidRPr="004233D8">
        <w:rPr>
          <w:rFonts w:ascii="Aref Ruqaa" w:hAnsi="Aref Ruqaa" w:cs="Aref Ruqaa"/>
          <w:color w:val="000000"/>
          <w:sz w:val="32"/>
          <w:szCs w:val="32"/>
          <w14:glow w14:rad="228600">
            <w14:schemeClr w14:val="accent1">
              <w14:alpha w14:val="60000"/>
              <w14:satMod w14:val="175000"/>
            </w14:schemeClr>
          </w14:glow>
        </w:rPr>
        <w:t>et le plan Quinquennal.</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6">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6">
              <w14:alpha w14:val="60000"/>
              <w14:satMod w14:val="175000"/>
            </w14:schemeClr>
          </w14:glow>
        </w:rPr>
        <w:t>Après 1956, le volume de l’investissement global avait décru dans des proportions considérables, ou plus exactement la baisse des investissements qui avait commencé à se manifester dès l’année 1953 de façon relativement modérée, s’accentua brusquement.</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6">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6">
              <w14:alpha w14:val="60000"/>
              <w14:satMod w14:val="175000"/>
            </w14:schemeClr>
          </w14:glow>
        </w:rPr>
        <w:t>Pratiquement tous les secteurs économiques furent touches par cette chute.</w:t>
      </w:r>
    </w:p>
    <w:p w:rsidR="005357AB" w:rsidRPr="004233D8" w:rsidRDefault="005357AB" w:rsidP="00057CC9">
      <w:pPr>
        <w:spacing w:after="0" w:line="240" w:lineRule="auto"/>
        <w:rPr>
          <w:rFonts w:ascii="Aref Ruqaa" w:eastAsia="Times New Roman" w:hAnsi="Aref Ruqaa" w:cs="Aref Ruqaa"/>
          <w:sz w:val="32"/>
          <w:szCs w:val="32"/>
          <w:lang w:eastAsia="fr-FR"/>
          <w14:glow w14:rad="228600">
            <w14:schemeClr w14:val="accent4">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4">
              <w14:alpha w14:val="60000"/>
              <w14:satMod w14:val="175000"/>
            </w14:schemeClr>
          </w14:glow>
        </w:rPr>
        <w:lastRenderedPageBreak/>
        <w:t xml:space="preserve">Parallèlement s’opérait une importante réduction de la proportion d’étrangers vivant au Maroc : le nombre de Français qui quittèrent le Maroc de 1955 à 1960 </w:t>
      </w:r>
      <w:r w:rsidR="00057CC9" w:rsidRPr="004233D8">
        <w:rPr>
          <w:rFonts w:ascii="Aref Ruqaa" w:eastAsia="Times New Roman" w:hAnsi="Aref Ruqaa" w:cs="Aref Ruqaa"/>
          <w:color w:val="000000"/>
          <w:sz w:val="32"/>
          <w:szCs w:val="32"/>
          <w:lang w:eastAsia="fr-FR"/>
          <w14:glow w14:rad="228600">
            <w14:schemeClr w14:val="accent4">
              <w14:alpha w14:val="60000"/>
              <w14:satMod w14:val="175000"/>
            </w14:schemeClr>
          </w14:glow>
        </w:rPr>
        <w:t xml:space="preserve">s’accentua considérablement. </w:t>
      </w:r>
    </w:p>
    <w:p w:rsidR="005357AB" w:rsidRPr="004233D8" w:rsidRDefault="005357AB" w:rsidP="005357AB">
      <w:pPr>
        <w:spacing w:after="0" w:line="240" w:lineRule="auto"/>
        <w:rPr>
          <w:rFonts w:ascii="Aref Ruqaa" w:eastAsia="Times New Roman" w:hAnsi="Aref Ruqaa" w:cs="Aref Ruqaa"/>
          <w:color w:val="000000"/>
          <w:sz w:val="32"/>
          <w:szCs w:val="32"/>
          <w:lang w:eastAsia="fr-FR"/>
          <w14:glow w14:rad="228600">
            <w14:schemeClr w14:val="accent2">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2">
              <w14:alpha w14:val="60000"/>
              <w14:satMod w14:val="175000"/>
            </w14:schemeClr>
          </w14:glow>
        </w:rPr>
        <w:t xml:space="preserve">Quant aux </w:t>
      </w:r>
      <w:r w:rsidR="00057CC9" w:rsidRPr="004233D8">
        <w:rPr>
          <w:rFonts w:ascii="Aref Ruqaa" w:eastAsia="Times New Roman" w:hAnsi="Aref Ruqaa" w:cs="Aref Ruqaa"/>
          <w:color w:val="000000"/>
          <w:sz w:val="32"/>
          <w:szCs w:val="32"/>
          <w:lang w:eastAsia="fr-FR"/>
          <w14:glow w14:rad="228600">
            <w14:schemeClr w14:val="accent2">
              <w14:alpha w14:val="60000"/>
              <w14:satMod w14:val="175000"/>
            </w14:schemeClr>
          </w14:glow>
        </w:rPr>
        <w:t>conséquences</w:t>
      </w:r>
      <w:r w:rsidRPr="004233D8">
        <w:rPr>
          <w:rFonts w:ascii="Aref Ruqaa" w:eastAsia="Times New Roman" w:hAnsi="Aref Ruqaa" w:cs="Aref Ruqaa"/>
          <w:color w:val="000000"/>
          <w:sz w:val="32"/>
          <w:szCs w:val="32"/>
          <w:lang w:eastAsia="fr-FR"/>
          <w14:glow w14:rad="228600">
            <w14:schemeClr w14:val="accent2">
              <w14:alpha w14:val="60000"/>
              <w14:satMod w14:val="175000"/>
            </w14:schemeClr>
          </w14:glow>
        </w:rPr>
        <w:t xml:space="preserve"> de ces changements on peut citer : </w:t>
      </w:r>
    </w:p>
    <w:p w:rsidR="005357AB" w:rsidRPr="004233D8" w:rsidRDefault="005357AB" w:rsidP="005357AB">
      <w:pPr>
        <w:pStyle w:val="Paragraphedeliste"/>
        <w:numPr>
          <w:ilvl w:val="0"/>
          <w:numId w:val="2"/>
        </w:numPr>
        <w:spacing w:after="0" w:line="240" w:lineRule="auto"/>
        <w:rPr>
          <w:rFonts w:ascii="Aref Ruqaa" w:eastAsia="Times New Roman" w:hAnsi="Aref Ruqaa" w:cs="Aref Ruqaa"/>
          <w:sz w:val="32"/>
          <w:szCs w:val="32"/>
          <w:lang w:eastAsia="fr-FR"/>
          <w14:glow w14:rad="228600">
            <w14:schemeClr w14:val="accent2">
              <w14:alpha w14:val="60000"/>
              <w14:satMod w14:val="175000"/>
            </w14:schemeClr>
          </w14:glow>
        </w:rPr>
      </w:pPr>
      <w:r w:rsidRPr="004233D8">
        <w:rPr>
          <w:rFonts w:ascii="Aref Ruqaa" w:eastAsia="Times New Roman" w:hAnsi="Aref Ruqaa" w:cs="Aref Ruqaa"/>
          <w:sz w:val="32"/>
          <w:szCs w:val="32"/>
          <w:lang w:eastAsia="fr-FR"/>
          <w14:glow w14:rad="228600">
            <w14:schemeClr w14:val="accent2">
              <w14:alpha w14:val="60000"/>
              <w14:satMod w14:val="175000"/>
            </w14:schemeClr>
          </w14:glow>
        </w:rPr>
        <w:t xml:space="preserve">L’augmentation du taux de </w:t>
      </w:r>
      <w:r w:rsidR="00057CC9" w:rsidRPr="004233D8">
        <w:rPr>
          <w:rFonts w:ascii="Aref Ruqaa" w:eastAsia="Times New Roman" w:hAnsi="Aref Ruqaa" w:cs="Aref Ruqaa"/>
          <w:sz w:val="32"/>
          <w:szCs w:val="32"/>
          <w:lang w:eastAsia="fr-FR"/>
          <w14:glow w14:rad="228600">
            <w14:schemeClr w14:val="accent2">
              <w14:alpha w14:val="60000"/>
              <w14:satMod w14:val="175000"/>
            </w14:schemeClr>
          </w14:glow>
        </w:rPr>
        <w:t>chômage</w:t>
      </w:r>
      <w:r w:rsidRPr="004233D8">
        <w:rPr>
          <w:rFonts w:ascii="Aref Ruqaa" w:eastAsia="Times New Roman" w:hAnsi="Aref Ruqaa" w:cs="Aref Ruqaa"/>
          <w:sz w:val="32"/>
          <w:szCs w:val="32"/>
          <w:lang w:eastAsia="fr-FR"/>
          <w14:glow w14:rad="228600">
            <w14:schemeClr w14:val="accent2">
              <w14:alpha w14:val="60000"/>
              <w14:satMod w14:val="175000"/>
            </w14:schemeClr>
          </w14:glow>
        </w:rPr>
        <w:t xml:space="preserve"> et de </w:t>
      </w:r>
      <w:r w:rsidR="00057CC9" w:rsidRPr="004233D8">
        <w:rPr>
          <w:rFonts w:ascii="Aref Ruqaa" w:eastAsia="Times New Roman" w:hAnsi="Aref Ruqaa" w:cs="Aref Ruqaa"/>
          <w:sz w:val="32"/>
          <w:szCs w:val="32"/>
          <w:lang w:eastAsia="fr-FR"/>
          <w14:glow w14:rad="228600">
            <w14:schemeClr w14:val="accent2">
              <w14:alpha w14:val="60000"/>
              <w14:satMod w14:val="175000"/>
            </w14:schemeClr>
          </w14:glow>
        </w:rPr>
        <w:t>sous-emploi</w:t>
      </w:r>
    </w:p>
    <w:p w:rsidR="005357AB" w:rsidRPr="004233D8" w:rsidRDefault="000625B2" w:rsidP="005357AB">
      <w:pPr>
        <w:pStyle w:val="Paragraphedeliste"/>
        <w:numPr>
          <w:ilvl w:val="0"/>
          <w:numId w:val="2"/>
        </w:numPr>
        <w:spacing w:after="0" w:line="240" w:lineRule="auto"/>
        <w:rPr>
          <w:rFonts w:ascii="Aref Ruqaa" w:eastAsia="Times New Roman" w:hAnsi="Aref Ruqaa" w:cs="Aref Ruqaa"/>
          <w:sz w:val="32"/>
          <w:szCs w:val="32"/>
          <w:lang w:eastAsia="fr-FR"/>
          <w14:glow w14:rad="228600">
            <w14:schemeClr w14:val="accent2">
              <w14:alpha w14:val="60000"/>
              <w14:satMod w14:val="175000"/>
            </w14:schemeClr>
          </w14:glow>
        </w:rPr>
      </w:pPr>
      <w:r w:rsidRPr="004233D8">
        <w:rPr>
          <w:rFonts w:ascii="Aref Ruqaa" w:eastAsia="Times New Roman" w:hAnsi="Aref Ruqaa" w:cs="Aref Ruqaa"/>
          <w:sz w:val="32"/>
          <w:szCs w:val="32"/>
          <w:lang w:eastAsia="fr-FR"/>
          <w14:glow w14:rad="228600">
            <w14:schemeClr w14:val="accent2">
              <w14:alpha w14:val="60000"/>
              <w14:satMod w14:val="175000"/>
            </w14:schemeClr>
          </w14:glow>
        </w:rPr>
        <w:t xml:space="preserve">Une baisse </w:t>
      </w:r>
      <w:r w:rsidR="00057CC9" w:rsidRPr="004233D8">
        <w:rPr>
          <w:rFonts w:ascii="Aref Ruqaa" w:eastAsia="Times New Roman" w:hAnsi="Aref Ruqaa" w:cs="Aref Ruqaa"/>
          <w:sz w:val="32"/>
          <w:szCs w:val="32"/>
          <w:lang w:eastAsia="fr-FR"/>
          <w14:glow w14:rad="228600">
            <w14:schemeClr w14:val="accent2">
              <w14:alpha w14:val="60000"/>
              <w14:satMod w14:val="175000"/>
            </w14:schemeClr>
          </w14:glow>
        </w:rPr>
        <w:t>considérable</w:t>
      </w:r>
      <w:r w:rsidRPr="004233D8">
        <w:rPr>
          <w:rFonts w:ascii="Aref Ruqaa" w:eastAsia="Times New Roman" w:hAnsi="Aref Ruqaa" w:cs="Aref Ruqaa"/>
          <w:sz w:val="32"/>
          <w:szCs w:val="32"/>
          <w:lang w:eastAsia="fr-FR"/>
          <w14:glow w14:rad="228600">
            <w14:schemeClr w14:val="accent2">
              <w14:alpha w14:val="60000"/>
              <w14:satMod w14:val="175000"/>
            </w14:schemeClr>
          </w14:glow>
        </w:rPr>
        <w:t xml:space="preserve"> du PIB</w:t>
      </w:r>
    </w:p>
    <w:p w:rsidR="000625B2" w:rsidRPr="004233D8" w:rsidRDefault="000625B2" w:rsidP="005357AB">
      <w:pPr>
        <w:pStyle w:val="Paragraphedeliste"/>
        <w:numPr>
          <w:ilvl w:val="0"/>
          <w:numId w:val="2"/>
        </w:numPr>
        <w:spacing w:after="0" w:line="240" w:lineRule="auto"/>
        <w:rPr>
          <w:rFonts w:ascii="Aref Ruqaa" w:eastAsia="Times New Roman" w:hAnsi="Aref Ruqaa" w:cs="Aref Ruqaa"/>
          <w:sz w:val="32"/>
          <w:szCs w:val="32"/>
          <w:lang w:eastAsia="fr-FR"/>
          <w14:glow w14:rad="228600">
            <w14:schemeClr w14:val="accent2">
              <w14:alpha w14:val="60000"/>
              <w14:satMod w14:val="175000"/>
            </w14:schemeClr>
          </w14:glow>
        </w:rPr>
      </w:pPr>
      <w:r w:rsidRPr="004233D8">
        <w:rPr>
          <w:rFonts w:ascii="Aref Ruqaa" w:eastAsia="Times New Roman" w:hAnsi="Aref Ruqaa" w:cs="Aref Ruqaa"/>
          <w:sz w:val="32"/>
          <w:szCs w:val="32"/>
          <w:lang w:eastAsia="fr-FR"/>
          <w14:glow w14:rad="228600">
            <w14:schemeClr w14:val="accent2">
              <w14:alpha w14:val="60000"/>
              <w14:satMod w14:val="175000"/>
            </w14:schemeClr>
          </w14:glow>
        </w:rPr>
        <w:t xml:space="preserve">Une </w:t>
      </w:r>
      <w:r w:rsidR="00057CC9" w:rsidRPr="004233D8">
        <w:rPr>
          <w:rFonts w:ascii="Aref Ruqaa" w:eastAsia="Times New Roman" w:hAnsi="Aref Ruqaa" w:cs="Aref Ruqaa"/>
          <w:sz w:val="32"/>
          <w:szCs w:val="32"/>
          <w:lang w:eastAsia="fr-FR"/>
          <w14:glow w14:rad="228600">
            <w14:schemeClr w14:val="accent2">
              <w14:alpha w14:val="60000"/>
              <w14:satMod w14:val="175000"/>
            </w14:schemeClr>
          </w14:glow>
        </w:rPr>
        <w:t>accélération</w:t>
      </w:r>
      <w:r w:rsidRPr="004233D8">
        <w:rPr>
          <w:rFonts w:ascii="Aref Ruqaa" w:eastAsia="Times New Roman" w:hAnsi="Aref Ruqaa" w:cs="Aref Ruqaa"/>
          <w:sz w:val="32"/>
          <w:szCs w:val="32"/>
          <w:lang w:eastAsia="fr-FR"/>
          <w14:glow w14:rad="228600">
            <w14:schemeClr w14:val="accent2">
              <w14:alpha w14:val="60000"/>
              <w14:satMod w14:val="175000"/>
            </w14:schemeClr>
          </w14:glow>
        </w:rPr>
        <w:t xml:space="preserve"> remarquable de l’exode rural</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3">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3">
              <w14:alpha w14:val="60000"/>
              <w14:satMod w14:val="175000"/>
            </w14:schemeClr>
          </w14:glow>
        </w:rPr>
        <w:t>On peut aussi parler de l’agriculture qui demeure le principal secteur de l’économie marocaine, mais qui reste tout de même très vulnérable aux aléas climatiques. Son secteur traditionnel, qui regroupe la majorité des paysans continue de stagner et même de régresser en l’absence d’une refonte des secteurs agraires.</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1">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1">
              <w14:alpha w14:val="60000"/>
              <w14:satMod w14:val="175000"/>
            </w14:schemeClr>
          </w14:glow>
        </w:rPr>
        <w:t>L’industrie, elle aussi, a connu de grands changements. Depuis 1962, il y a une augmentation continue de la consommation d’électricité, mais à un rythme assez lent, qui reflète celui de la croissance industrielle. La production d’électricité à atteint en 1968 un peu plus d’un milliard et demi de kW/h.</w:t>
      </w:r>
    </w:p>
    <w:p w:rsidR="00057CC9" w:rsidRPr="004233D8" w:rsidRDefault="005357AB" w:rsidP="00057CC9">
      <w:pPr>
        <w:spacing w:after="0" w:line="240" w:lineRule="auto"/>
        <w:rPr>
          <w:rFonts w:ascii="Aref Ruqaa" w:eastAsia="Times New Roman" w:hAnsi="Aref Ruqaa" w:cs="Aref Ruqaa"/>
          <w:sz w:val="32"/>
          <w:szCs w:val="32"/>
          <w:lang w:eastAsia="fr-FR"/>
          <w14:glow w14:rad="228600">
            <w14:schemeClr w14:val="accent1">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1">
              <w14:alpha w14:val="60000"/>
              <w14:satMod w14:val="175000"/>
            </w14:schemeClr>
          </w14:glow>
        </w:rPr>
        <w:t>Depuis l’indépendance, l’industrie n’a connu aucun changement décisif de structure. Les seuls faits marquants ont été un développement assez rapide des industries textiles et la création de sucreries par l’état.</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6">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6">
              <w14:alpha w14:val="60000"/>
              <w14:satMod w14:val="175000"/>
            </w14:schemeClr>
          </w14:glow>
        </w:rPr>
        <w:lastRenderedPageBreak/>
        <w:t>Au niveau des emplois, le chômage et le sous-emploi demeurent importants et s’aggravent malgré la mise en œuvre de différents plans depuis 1960. Le chômage urbain représenterait 30 à 50 % de la main d’œuvre urbaine.</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6">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6">
              <w14:alpha w14:val="60000"/>
              <w14:satMod w14:val="175000"/>
            </w14:schemeClr>
          </w14:glow>
        </w:rPr>
        <w:t>Le développement de l’émigration de travailleurs marocains vers les pays d’Europe occidentale, durant les dernières années, même s’il attenue quelque peu l’ampleur du chômage et du sous-emploi, n’en supprime nullement là gravite.</w:t>
      </w:r>
    </w:p>
    <w:p w:rsidR="005357AB" w:rsidRPr="004233D8" w:rsidRDefault="005357AB" w:rsidP="005357AB">
      <w:pPr>
        <w:spacing w:after="0" w:line="240" w:lineRule="auto"/>
        <w:rPr>
          <w:rFonts w:ascii="Aref Ruqaa" w:eastAsia="Times New Roman" w:hAnsi="Aref Ruqaa" w:cs="Aref Ruqaa"/>
          <w:sz w:val="32"/>
          <w:szCs w:val="32"/>
          <w:lang w:eastAsia="fr-FR"/>
          <w14:glow w14:rad="228600">
            <w14:schemeClr w14:val="accent1">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1">
              <w14:alpha w14:val="60000"/>
              <w14:satMod w14:val="175000"/>
            </w14:schemeClr>
          </w14:glow>
        </w:rPr>
        <w:t>Les énormes besoins en matière de création d’emplois, en matière de scolarisation et de formation de cadres, en matière d’amélioration du niveau de vie de la masse de la population subsistent et s’amplifient avec l’accroissement démographique.</w:t>
      </w:r>
    </w:p>
    <w:p w:rsidR="00057CC9" w:rsidRDefault="005357AB" w:rsidP="004233D8">
      <w:pPr>
        <w:spacing w:after="0" w:line="240" w:lineRule="auto"/>
        <w:rPr>
          <w:rFonts w:ascii="Aref Ruqaa" w:eastAsia="Times New Roman" w:hAnsi="Aref Ruqaa" w:cs="Aref Ruqaa"/>
          <w:color w:val="000000"/>
          <w:sz w:val="32"/>
          <w:szCs w:val="32"/>
          <w:lang w:eastAsia="fr-FR"/>
          <w14:glow w14:rad="228600">
            <w14:schemeClr w14:val="accent1">
              <w14:alpha w14:val="60000"/>
              <w14:satMod w14:val="175000"/>
            </w14:schemeClr>
          </w14:glow>
        </w:rPr>
      </w:pPr>
      <w:r w:rsidRPr="004233D8">
        <w:rPr>
          <w:rFonts w:ascii="Aref Ruqaa" w:eastAsia="Times New Roman" w:hAnsi="Aref Ruqaa" w:cs="Aref Ruqaa"/>
          <w:color w:val="000000"/>
          <w:sz w:val="32"/>
          <w:szCs w:val="32"/>
          <w:lang w:eastAsia="fr-FR"/>
          <w14:glow w14:rad="228600">
            <w14:schemeClr w14:val="accent1">
              <w14:alpha w14:val="60000"/>
              <w14:satMod w14:val="175000"/>
            </w14:schemeClr>
          </w14:glow>
        </w:rPr>
        <w:t>Les générations montantes, qui ont accède jusqu’ici à l’enseignement secondaire manifestent de l’inquiétude quant à leur avenir, et contestent de plus en plus les options économiques et sociales du pouvoir.</w:t>
      </w:r>
    </w:p>
    <w:bookmarkEnd w:id="0"/>
    <w:p w:rsidR="00B1581C" w:rsidRPr="004233D8" w:rsidRDefault="00B1581C" w:rsidP="00B1581C">
      <w:pPr>
        <w:bidi/>
        <w:spacing w:after="0" w:line="240" w:lineRule="auto"/>
        <w:rPr>
          <w:rFonts w:ascii="Aref Ruqaa" w:eastAsia="Times New Roman" w:hAnsi="Aref Ruqaa" w:cs="Aref Ruqaa"/>
          <w:sz w:val="32"/>
          <w:szCs w:val="32"/>
          <w:lang w:eastAsia="fr-FR"/>
          <w14:glow w14:rad="228600">
            <w14:schemeClr w14:val="accent1">
              <w14:alpha w14:val="60000"/>
              <w14:satMod w14:val="175000"/>
            </w14:schemeClr>
          </w14:glow>
        </w:rPr>
      </w:pPr>
    </w:p>
    <w:sectPr w:rsidR="00B1581C" w:rsidRPr="00423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heherazade">
    <w:panose1 w:val="01000600020000020003"/>
    <w:charset w:val="00"/>
    <w:family w:val="auto"/>
    <w:pitch w:val="variable"/>
    <w:sig w:usb0="80002003"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ef Ruqaa">
    <w:panose1 w:val="02000503000000000000"/>
    <w:charset w:val="00"/>
    <w:family w:val="auto"/>
    <w:pitch w:val="variable"/>
    <w:sig w:usb0="80002047" w:usb1="8000004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354F3"/>
    <w:multiLevelType w:val="multilevel"/>
    <w:tmpl w:val="63EC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6E4147"/>
    <w:multiLevelType w:val="hybridMultilevel"/>
    <w:tmpl w:val="6548DD98"/>
    <w:lvl w:ilvl="0" w:tplc="AA1EB648">
      <w:numFmt w:val="bullet"/>
      <w:lvlText w:val="-"/>
      <w:lvlJc w:val="left"/>
      <w:pPr>
        <w:ind w:left="720" w:hanging="360"/>
      </w:pPr>
      <w:rPr>
        <w:rFonts w:ascii="Scheherazade" w:eastAsia="Times New Roman" w:hAnsi="Scheherazade" w:cs="Scheherazade"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AB"/>
    <w:rsid w:val="00057CC9"/>
    <w:rsid w:val="000625B2"/>
    <w:rsid w:val="000D421C"/>
    <w:rsid w:val="004233D8"/>
    <w:rsid w:val="005357AB"/>
    <w:rsid w:val="005D6729"/>
    <w:rsid w:val="00B1581C"/>
    <w:rsid w:val="00CC2088"/>
    <w:rsid w:val="00CC362D"/>
    <w:rsid w:val="00E0579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059BF-4A4C-4CFD-B0A0-9B3E5DD5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357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35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532100">
      <w:bodyDiv w:val="1"/>
      <w:marLeft w:val="0"/>
      <w:marRight w:val="0"/>
      <w:marTop w:val="0"/>
      <w:marBottom w:val="0"/>
      <w:divBdr>
        <w:top w:val="none" w:sz="0" w:space="0" w:color="auto"/>
        <w:left w:val="none" w:sz="0" w:space="0" w:color="auto"/>
        <w:bottom w:val="none" w:sz="0" w:space="0" w:color="auto"/>
        <w:right w:val="none" w:sz="0" w:space="0" w:color="auto"/>
      </w:divBdr>
    </w:div>
    <w:div w:id="391276983">
      <w:bodyDiv w:val="1"/>
      <w:marLeft w:val="0"/>
      <w:marRight w:val="0"/>
      <w:marTop w:val="0"/>
      <w:marBottom w:val="0"/>
      <w:divBdr>
        <w:top w:val="none" w:sz="0" w:space="0" w:color="auto"/>
        <w:left w:val="none" w:sz="0" w:space="0" w:color="auto"/>
        <w:bottom w:val="none" w:sz="0" w:space="0" w:color="auto"/>
        <w:right w:val="none" w:sz="0" w:space="0" w:color="auto"/>
      </w:divBdr>
    </w:div>
    <w:div w:id="897862670">
      <w:bodyDiv w:val="1"/>
      <w:marLeft w:val="0"/>
      <w:marRight w:val="0"/>
      <w:marTop w:val="0"/>
      <w:marBottom w:val="0"/>
      <w:divBdr>
        <w:top w:val="none" w:sz="0" w:space="0" w:color="auto"/>
        <w:left w:val="none" w:sz="0" w:space="0" w:color="auto"/>
        <w:bottom w:val="none" w:sz="0" w:space="0" w:color="auto"/>
        <w:right w:val="none" w:sz="0" w:space="0" w:color="auto"/>
      </w:divBdr>
    </w:div>
    <w:div w:id="115830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490</Words>
  <Characters>2701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2019-05-29T22:21:00Z</dcterms:created>
  <dcterms:modified xsi:type="dcterms:W3CDTF">2019-05-30T11:41:00Z</dcterms:modified>
</cp:coreProperties>
</file>