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B982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36"/>
          <w:szCs w:val="36"/>
        </w:rPr>
      </w:pPr>
      <w:bookmarkStart w:id="0" w:name="_GoBack"/>
      <w:bookmarkEnd w:id="0"/>
      <w:r>
        <w:rPr>
          <w:rStyle w:val="10"/>
          <w:rFonts w:hint="eastAsia" w:ascii="微软雅黑" w:hAnsi="微软雅黑" w:eastAsia="微软雅黑" w:cs="微软雅黑"/>
          <w:b/>
          <w:sz w:val="36"/>
          <w:szCs w:val="36"/>
        </w:rPr>
        <w:t xml:space="preserve">AGV PROTOCOL – NON-DISCLOSURE AGREEMENT </w:t>
      </w:r>
    </w:p>
    <w:p w14:paraId="6710182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Style w:val="10"/>
          <w:rFonts w:hint="eastAsia" w:ascii="微软雅黑" w:hAnsi="微软雅黑" w:eastAsia="微软雅黑" w:cs="微软雅黑"/>
          <w:sz w:val="20"/>
          <w:szCs w:val="20"/>
        </w:rPr>
      </w:pPr>
    </w:p>
    <w:p w14:paraId="3A09DAF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Style w:val="10"/>
          <w:rFonts w:hint="eastAsia" w:ascii="微软雅黑" w:hAnsi="微软雅黑" w:eastAsia="微软雅黑" w:cs="微软雅黑"/>
          <w:sz w:val="20"/>
          <w:szCs w:val="20"/>
        </w:rPr>
        <w:t>THIS NON-DISCLOSURE AGREEMENT (“Agreement”)</w:t>
      </w:r>
      <w:r>
        <w:rPr>
          <w:rFonts w:hint="eastAsia" w:ascii="微软雅黑" w:hAnsi="微软雅黑" w:eastAsia="微软雅黑" w:cs="微软雅黑"/>
          <w:sz w:val="20"/>
          <w:szCs w:val="20"/>
        </w:rPr>
        <w:t xml:space="preserve"> is entered into on this ___ day of ___</w:t>
      </w:r>
      <w:r>
        <w:rPr>
          <w:rStyle w:val="10"/>
          <w:rFonts w:hint="eastAsia" w:ascii="微软雅黑" w:hAnsi="微软雅黑" w:eastAsia="微软雅黑" w:cs="微软雅黑"/>
          <w:sz w:val="20"/>
          <w:szCs w:val="20"/>
        </w:rPr>
        <w:t>, 20</w:t>
      </w:r>
      <w:r>
        <w:rPr>
          <w:rFonts w:hint="eastAsia" w:ascii="微软雅黑" w:hAnsi="微软雅黑" w:eastAsia="微软雅黑" w:cs="微软雅黑"/>
          <w:sz w:val="20"/>
          <w:szCs w:val="20"/>
        </w:rPr>
        <w:t xml:space="preserve"> (“Effective Date”)</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by and between:</w:t>
      </w:r>
    </w:p>
    <w:p w14:paraId="6176DD0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Style w:val="10"/>
          <w:rFonts w:hint="eastAsia" w:ascii="微软雅黑" w:hAnsi="微软雅黑" w:eastAsia="微软雅黑" w:cs="微软雅黑"/>
          <w:sz w:val="20"/>
          <w:szCs w:val="20"/>
        </w:rPr>
        <w:t>New Zealand iJet Limited (t/a AGV Protocol)</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A company incorporated under the laws of New Zealand</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NZBN 9429030871427</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Registered Office: 7 Combes Road, Remuera, Auckland 1050</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(“Disclosing Party” or “Company”)</w:t>
      </w:r>
    </w:p>
    <w:p w14:paraId="3CDB11A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and</w:t>
      </w:r>
    </w:p>
    <w:p w14:paraId="241DB8A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Style w:val="10"/>
          <w:rFonts w:hint="eastAsia" w:ascii="微软雅黑" w:hAnsi="微软雅黑" w:eastAsia="微软雅黑" w:cs="微软雅黑"/>
          <w:sz w:val="20"/>
          <w:szCs w:val="20"/>
        </w:rPr>
        <w:t>[FULL LEGAL NAME OF RECEIVING PARTY]</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A [Type of Entity] organized under the laws of [Jurisdiction]</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Registration Number: [Number]</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Registered Office: [Full Address]</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(“Receiving Party”)</w:t>
      </w:r>
    </w:p>
    <w:p w14:paraId="0B7A629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(The Company and Receiving Party are collectively referred to as the “Parties.”)</w:t>
      </w:r>
    </w:p>
    <w:p w14:paraId="4C1F8EE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Definition of Confidential Information</w:t>
      </w:r>
    </w:p>
    <w:p w14:paraId="78D12CD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Confidential Information includes all non-public information disclosed by the Company in any form, whether marked confidential or not, relating to its technology, tokenomics, business operations, or any other proprietary matters.</w:t>
      </w:r>
    </w:p>
    <w:p w14:paraId="247FF28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Exclusions from Confidential Information</w:t>
      </w:r>
    </w:p>
    <w:p w14:paraId="732B53B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Confidentiality Obligations</w:t>
      </w:r>
    </w:p>
    <w:p w14:paraId="2762605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Receiving Party shall:</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(a) limit disclosure to authorized Representatives with a need to know;</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(b) ensure such persons are bound by confidentiality duties no less stringent than those herein;</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(c) protect information using at least reasonable care;</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(d) avoid unauthorized use or disclosure;</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(e) implement appropriate security measures; and</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(f) remain liable for any breach by its Representatives.</w:t>
      </w:r>
    </w:p>
    <w:p w14:paraId="00D0B12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Style w:val="10"/>
          <w:rFonts w:hint="eastAsia" w:ascii="微软雅黑" w:hAnsi="微软雅黑" w:eastAsia="微软雅黑" w:cs="微软雅黑"/>
          <w:sz w:val="20"/>
          <w:szCs w:val="20"/>
        </w:rPr>
        <w:t>Additional Obligation:</w:t>
      </w:r>
      <w:r>
        <w:rPr>
          <w:rFonts w:hint="eastAsia" w:ascii="微软雅黑" w:hAnsi="微软雅黑" w:eastAsia="微软雅黑" w:cs="微软雅黑"/>
          <w:sz w:val="20"/>
          <w:szCs w:val="20"/>
        </w:rPr>
        <w:t xml:space="preserve"> Receiving Party shall ensure that its consultants, contractors, affiliates, investors or potential partners who receive Confidential Information execute written non-disclosure agreements substantially similar to this Agreement.</w:t>
      </w:r>
    </w:p>
    <w:p w14:paraId="30311E1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 Permitted Use</w:t>
      </w:r>
    </w:p>
    <w:p w14:paraId="6DA9A4B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Confidential Information shall be used solely for evaluating a potential business relationship with the Company and for no other purpose. No license or intellectual property right is granted hereby.</w:t>
      </w:r>
    </w:p>
    <w:p w14:paraId="0CEAE70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5. Web3 and Digital Assets Specific Provisions</w:t>
      </w:r>
    </w:p>
    <w:p w14:paraId="57E4251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All information concerning token design, allocation, vesting, or smart contract architecture is strictly confidential and shall not be used for trading, speculation, or market manipulation. The Receiving Party acknowledges that AGV Protocol tokens are utility tokens and shall comply with all applicable digital asset regulations.</w:t>
      </w:r>
    </w:p>
    <w:p w14:paraId="49239C9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6. Data Room Access</w:t>
      </w:r>
    </w:p>
    <w:p w14:paraId="3AF0480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Access credentials are personal and non-transferable. Company may monitor and revoke access at any time without notice. All information is provided “as is” without warranty of accuracy or completeness.</w:t>
      </w:r>
    </w:p>
    <w:p w14:paraId="607E4B3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7. Term and Survival</w:t>
      </w:r>
    </w:p>
    <w:p w14:paraId="0CCE8A2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This Agreement remains effective until terminated by either Party with thirty (30) days’ written notice. Confidentiality obligations survive for five (5) years from each disclosure; however, </w:t>
      </w:r>
      <w:r>
        <w:rPr>
          <w:rStyle w:val="10"/>
          <w:rFonts w:hint="eastAsia" w:ascii="微软雅黑" w:hAnsi="微软雅黑" w:eastAsia="微软雅黑" w:cs="微软雅黑"/>
          <w:sz w:val="20"/>
          <w:szCs w:val="20"/>
        </w:rPr>
        <w:t>trade secrets and proprietary technologies shall remain confidential permanently</w:t>
      </w:r>
      <w:r>
        <w:rPr>
          <w:rFonts w:hint="eastAsia" w:ascii="微软雅黑" w:hAnsi="微软雅黑" w:eastAsia="微软雅黑" w:cs="微软雅黑"/>
          <w:sz w:val="20"/>
          <w:szCs w:val="20"/>
        </w:rPr>
        <w:t xml:space="preserve"> for so long as they retain trade-secret status.</w:t>
      </w:r>
    </w:p>
    <w:p w14:paraId="0792E36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8. Return or Destruction of Information</w:t>
      </w:r>
    </w:p>
    <w:p w14:paraId="0E10FFC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Upon termination or written request, Receiving Party shall promptly return or destroy all Confidential Information and certify such destruction in writing. One archival copy may be retained solely for legal compliance.</w:t>
      </w:r>
    </w:p>
    <w:p w14:paraId="647BE62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9. No Warranty</w:t>
      </w:r>
    </w:p>
    <w:p w14:paraId="64E7158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All Confidential Information is provided “AS IS,” without warranty of accuracy or fitness for any purpose. The Company shall have no liability for use of the information except as expressly set forth herein.</w:t>
      </w:r>
    </w:p>
    <w:p w14:paraId="37AEE4C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10. No Binding Obligation</w:t>
      </w:r>
    </w:p>
    <w:p w14:paraId="0E5F526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This Agreement does not obligate either Party to proceed with any transaction or partnership. It does not create agency, joint venture, or employment relationships.</w:t>
      </w:r>
    </w:p>
    <w:p w14:paraId="411E6B9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11. Remedies and Enforcement</w:t>
      </w:r>
    </w:p>
    <w:p w14:paraId="3B51BBE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Receiving Party acknowledges that unauthorized disclosure may cause irreparable harm. Company is entitled to injunctive relief, specific performance, and any other equitable remedies without bond, in addition to monetary damages and attorneys’ fees.</w:t>
      </w:r>
    </w:p>
    <w:p w14:paraId="0B276BA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12. Notice of Breach</w:t>
      </w:r>
    </w:p>
    <w:p w14:paraId="7A41A5D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Receiving Party shall immediately notify Company in writing upon discovery of any unauthorized use or disclosure, provide full details, and cooperate in mitigation.</w:t>
      </w:r>
    </w:p>
    <w:p w14:paraId="59976BF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13. Representations and Authority</w:t>
      </w:r>
    </w:p>
    <w:p w14:paraId="214D4A8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Each Party represents that it has full power and authority to enter into this Agreement and that execution does not violate any existing contract or law.</w:t>
      </w:r>
    </w:p>
    <w:p w14:paraId="2926FC5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14. Governing Law and Dispute Resolution </w:t>
      </w:r>
    </w:p>
    <w:p w14:paraId="6CB576D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This Agreement shall be governed by and construed in accordance with the laws of </w:t>
      </w:r>
      <w:r>
        <w:rPr>
          <w:rStyle w:val="10"/>
          <w:rFonts w:hint="eastAsia" w:ascii="微软雅黑" w:hAnsi="微软雅黑" w:eastAsia="微软雅黑" w:cs="微软雅黑"/>
          <w:sz w:val="20"/>
          <w:szCs w:val="20"/>
        </w:rPr>
        <w:t>New Zealand</w:t>
      </w:r>
      <w:r>
        <w:rPr>
          <w:rFonts w:hint="eastAsia" w:ascii="微软雅黑" w:hAnsi="微软雅黑" w:eastAsia="微软雅黑" w:cs="微软雅黑"/>
          <w:sz w:val="20"/>
          <w:szCs w:val="20"/>
        </w:rPr>
        <w:t>.</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 xml:space="preserve">Any dispute arising out of or in connection with this Agreement shall be referred to and finally resolved by </w:t>
      </w:r>
      <w:r>
        <w:rPr>
          <w:rStyle w:val="10"/>
          <w:rFonts w:hint="eastAsia" w:ascii="微软雅黑" w:hAnsi="微软雅黑" w:eastAsia="微软雅黑" w:cs="微软雅黑"/>
          <w:sz w:val="20"/>
          <w:szCs w:val="20"/>
        </w:rPr>
        <w:t>arbitration in Auckland</w:t>
      </w:r>
      <w:r>
        <w:rPr>
          <w:rFonts w:hint="eastAsia" w:ascii="微软雅黑" w:hAnsi="微软雅黑" w:eastAsia="微软雅黑" w:cs="微软雅黑"/>
          <w:sz w:val="20"/>
          <w:szCs w:val="20"/>
        </w:rPr>
        <w:t xml:space="preserve"> under the Rules of the New Zealand International Arbitration Centre (NZIAC). The language of arbitration shall be English. The arbitral award shall be final and binding on the Parties.</w:t>
      </w:r>
    </w:p>
    <w:p w14:paraId="39044A4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Style w:val="11"/>
          <w:rFonts w:hint="eastAsia" w:ascii="微软雅黑" w:hAnsi="微软雅黑" w:eastAsia="微软雅黑" w:cs="微软雅黑"/>
          <w:sz w:val="20"/>
          <w:szCs w:val="20"/>
        </w:rPr>
        <w:t>(For cross-border execution, this clause may alternatively be replaced with “SIAC arbitration in Singapore.”)</w:t>
      </w:r>
    </w:p>
    <w:p w14:paraId="7195D30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15. Electronic Signature </w:t>
      </w:r>
    </w:p>
    <w:p w14:paraId="719C607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The Parties agree that this Agreement may be executed by electronic means (e.g., DocuSign or PDF signature), and such execution shall have the same legal effect as handwritten signatures.</w:t>
      </w:r>
    </w:p>
    <w:p w14:paraId="1468C5B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16. Entire Agreement and Severability</w:t>
      </w:r>
    </w:p>
    <w:p w14:paraId="346FFAD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This Agreement constitutes the entire understanding between the Parties concerning the subject matter and supersedes all prior oral or written communications. If any provision is held invalid, the remainder shall remain in full force and effect.</w:t>
      </w:r>
    </w:p>
    <w:p w14:paraId="702054C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1"/>
          <w:szCs w:val="21"/>
        </w:rPr>
      </w:pPr>
      <w:r>
        <w:rPr>
          <w:rStyle w:val="10"/>
          <w:rFonts w:hint="eastAsia" w:ascii="微软雅黑" w:hAnsi="微软雅黑" w:eastAsia="微软雅黑" w:cs="微软雅黑"/>
          <w:b/>
          <w:sz w:val="21"/>
          <w:szCs w:val="21"/>
        </w:rPr>
        <w:t>SIGNATURES</w:t>
      </w:r>
    </w:p>
    <w:p w14:paraId="0FC1E63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Style w:val="10"/>
          <w:rFonts w:hint="eastAsia" w:ascii="微软雅黑" w:hAnsi="微软雅黑" w:eastAsia="微软雅黑" w:cs="微软雅黑"/>
          <w:sz w:val="20"/>
          <w:szCs w:val="20"/>
        </w:rPr>
        <w:t>For and on behalf of New Zealand iJet Limited (t/a AGV Protocol)</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Name: ______________________</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Title: ______________________</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Date: ______________________</w:t>
      </w:r>
    </w:p>
    <w:p w14:paraId="7D31489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20"/>
          <w:szCs w:val="20"/>
        </w:rPr>
      </w:pPr>
      <w:r>
        <w:rPr>
          <w:rStyle w:val="10"/>
          <w:rFonts w:hint="eastAsia" w:ascii="微软雅黑" w:hAnsi="微软雅黑" w:eastAsia="微软雅黑" w:cs="微软雅黑"/>
          <w:sz w:val="20"/>
          <w:szCs w:val="20"/>
        </w:rPr>
        <w:t>For and on behalf of [Receiving Party Full Legal Name]</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Name: ______________________</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Title: ______________________</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Date: ______________________</w:t>
      </w:r>
    </w:p>
    <w:p w14:paraId="2893390D">
      <w:pPr>
        <w:keepNext w:val="0"/>
        <w:keepLines w:val="0"/>
        <w:pageBreakBefore w:val="0"/>
        <w:kinsoku/>
        <w:wordWrap/>
        <w:overflowPunct/>
        <w:topLinePunct w:val="0"/>
        <w:autoSpaceDE/>
        <w:autoSpaceDN/>
        <w:bidi w:val="0"/>
        <w:adjustRightInd/>
        <w:snapToGrid/>
        <w:spacing w:beforeAutospacing="0" w:afterAutospacing="0" w:line="520" w:lineRule="exact"/>
        <w:textAlignment w:val="auto"/>
        <w:rPr>
          <w:rFonts w:hint="eastAsia" w:ascii="微软雅黑" w:hAnsi="微软雅黑" w:eastAsia="微软雅黑" w:cs="微软雅黑"/>
          <w:sz w:val="16"/>
          <w:szCs w:val="20"/>
        </w:rPr>
      </w:pPr>
    </w:p>
    <w:sectPr>
      <w:headerReference r:id="rId3" w:type="default"/>
      <w:footerReference r:id="rId4" w:type="default"/>
      <w:pgSz w:w="11906" w:h="16838"/>
      <w:pgMar w:top="1440" w:right="1080" w:bottom="1440" w:left="10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3A6E6">
    <w:pPr>
      <w:pStyle w:val="5"/>
    </w:pPr>
    <w:r>
      <w:rPr>
        <w:rFonts w:hint="eastAsia" w:ascii="微软雅黑" w:hAnsi="微软雅黑" w:eastAsia="微软雅黑" w:cs="微软雅黑"/>
        <w14:textFill>
          <w14:gradFill>
            <w14:gsLst>
              <w14:gs w14:pos="51300">
                <w14:srgbClr w14:val="4888CF"/>
              </w14:gs>
              <w14:gs w14:pos="0">
                <w14:srgbClr w14:val="95D2FF"/>
              </w14:gs>
              <w14:gs w14:pos="95000">
                <w14:srgbClr w14:val="3965A3"/>
              </w14:gs>
            </w14:gsLst>
            <w14:lin w14:ang="5400000" w14:scaled="1"/>
          </w14:gradFill>
        </w14:textFill>
      </w:rPr>
      <w:t>www.agvprotocol.org</w: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234853">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B234853">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C894B">
    <w:pPr>
      <w:pStyle w:val="6"/>
      <w:rPr>
        <w:rFonts w:hint="eastAsia" w:eastAsiaTheme="minorEastAsia"/>
        <w:lang w:eastAsia="zh-CN"/>
      </w:rPr>
    </w:pPr>
    <w:r>
      <w:rPr>
        <w:rFonts w:hint="eastAsia" w:eastAsiaTheme="minorEastAsia"/>
        <w:lang w:eastAsia="zh-CN"/>
      </w:rPr>
      <w:drawing>
        <wp:inline distT="0" distB="0" distL="114300" distR="114300">
          <wp:extent cx="653415" cy="217170"/>
          <wp:effectExtent l="0" t="0" r="13335" b="11430"/>
          <wp:docPr id="2" name="图片 2" descr="AGV 主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GV 主LOGO"/>
                  <pic:cNvPicPr>
                    <a:picLocks noChangeAspect="1"/>
                  </pic:cNvPicPr>
                </pic:nvPicPr>
                <pic:blipFill>
                  <a:blip r:embed="rId1"/>
                  <a:stretch>
                    <a:fillRect/>
                  </a:stretch>
                </pic:blipFill>
                <pic:spPr>
                  <a:xfrm>
                    <a:off x="0" y="0"/>
                    <a:ext cx="653415" cy="21717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AA4E21"/>
    <w:rsid w:val="0959521E"/>
    <w:rsid w:val="1FAA4E21"/>
    <w:rsid w:val="6960616F"/>
    <w:rsid w:val="7E7F241A"/>
    <w:rsid w:val="CF9F6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49</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2025-10-24T00:23:00Z</dcterms:created>
  <dc:creator>华势易捷</dc:creator>
  <cp:lastModifiedBy>Lynn旖旎❥</cp:lastModifiedBy>
  <dcterms:modified xsi:type="dcterms:W3CDTF">2025-10-23T16:41:54Z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C399746C65C53B9452EAF968E918E02D_43</vt:lpwstr>
  </property>
  <property fmtid="{D5CDD505-2E9C-101B-9397-08002B2CF9AE}" pid="4" name="KSOTemplateDocerSaveRecord">
    <vt:lpwstr>eyJoZGlkIjoiMDljYzUzMWQ4OWI0YzBkYjYzMDRhZTY5ZjZkYmFmYTgiLCJ1c2VySWQiOiIzMDQ3OTU4MDEifQ==</vt:lpwstr>
  </property>
</Properties>
</file>