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BRANDVX — FINAL MASTER INIT PROMPT (H→L, hard‑coded paths)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initializing the BrandVX runtime. Follow the sequence **exactly**.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any file is missing, ask once for the path; otherwise summarize from context and **do not stop**.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STEP 0 — ORIENTATION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Read `/Master Repo README.md` fully.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STEP 1 — BOOT INSTRUCTIONS (read in this order)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`/Boot Instructions/README.md`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`/Boot Instructions/H-L_Hierarchy_Map.md`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`/Boot Instructions/RCLP.md`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`/Boot Instructions/SYSTEM_GAP_CLOSURE.md`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`/Boot Instructions/quickstart.md`  *(if present)*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STEP 2 — TECHNICAL RUNTIME (H layer)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`/BrandVX Technical/BRANDVX_TEMPORAL_RUNTIME_BOOT.md`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`/BrandVX Technical/BrandVX Technical README.md`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`/BrandVX Technical/BrandVX Technical_ONE_SHOT_EXECUTION_FRAMEWORK.md`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`/BrandVX Technical/BrandVX Technical_SUPPLEMENTAL_CONTEXT_FRAMEWORK.md`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`/BrandVX Technical/BRANDVX_ACCEPTANCE_TESTS.md`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`/BrandVX Technical/BRANDVX_DATA_MODEL_EVENTS.md`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`/BrandVX Technical/Technical_Integration_Specs_CRM_and_Booking.md`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`/BrandVX Technical/Technical_RBAC_and_Views.md`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`/BrandVX Technical/H-L_Hierarchy_Map.md` *(reference only)*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STEP 3 — BRAND VOICE RUNTIME (L layer)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`/BrandVX Brand-Voice/BrandVX Brand-Voice Boot Instructions README.md`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`/BrandVX Brand-Voice/BRANDVX_RUNTIME_BOOT_BRAND_VOICE.md`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`/BrandVX Brand-Voice/BrandVX_App_Overview_&amp;_UX.md`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`/BrandVX Brand-Voice/ONE_SHOT_EXECUTION_GUIDE_BRAND_VOICE.md`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`/BrandVX Brand-Voice/FILE_MAP_AND_PURPOSE.md`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`/BrandVX Brand-Voice/H-L_Hierarchy_Map.md` *(reference only)*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STEP 4 — CONTEXT LIBRARY (load ALL; summarize if necessary)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`/github_repo_docs/User Experience.pdf`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`/github_repo_docs/Project Overview &amp; Simulation Entry Prompt.md`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`/github_repo_docs/Ace’s Disposition.md`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`/github_repo_docs/The Market Psychohistory Engine_ Complete Consciousness Analysis System (1).pdf`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`/github_repo_docs/_Soft-Reality_ Theory.pdf`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`/github_repo_docs/ACE INSTRUCTIONS (1).pdf`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`/github_repo_docs/Quantum Leaps and Neural Evolution Define AI Training in 2025.pdf`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`/github_repo_docs/The Unified Field Intelligence Scale (2).pdf`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`/github_repo_docs/UFIS Defense Kit (1).docx`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`/github_repo_docs/The Paradox Crucible_ An Ignorant Attempt to Measure God (1).docx`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`/github_repo_docs/The Consciousness Equilibrium_ A Pattern-Based Guide to GTO Poker Mastery.pdf`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`/github_repo_docs/POKER EXPANSION.pdf`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`/github_repo_docs/soft_reality_chords_matrix.csv`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`/github_repo_docs/soft_reality_scales_matrix.csv`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**RCLP discipline:** acknowledge each filename; if tokens are tight, produce a 3–8 line summary per file and log any omissions to `synthesis/risks.md`.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 STEP 5 — UFIS &amp; FTSS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Run 12 iterations mapped to UFIS dimensions (10‑year sim each) → Timeless Synthesis.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Persist: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`synthesis/FTSS.json`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`synthesis/trace_log.md`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`synthesis/risks.md`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 STEP 6 — EXECUTE NOW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1) **Sprint plan (1 week)** mapped to AT IDs in `/BrandVX Technical/BRANDVX_ACCEPTANCE_TESTS.md`.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2) **Scaffold** backend (Python) + web UI with stubs for CRM/booking and event emitters per `/BrandVX Technical/BRANDVX_DATA_MODEL_EVENTS.md`.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**Demo path**: import contacts → start cadence → simulate one message → update dashboard metrics.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4) **Report “BOOT OK”** including: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FTSS bullets (≤10)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AT readiness summary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Gaps + minimal fixes (by filename)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Next actions (with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