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pPr>
      <w:r>
        <w:rPr>
          <w:rFonts w:ascii="Aptos" w:hAnsi="Aptos"/>
          <w:b/>
          <w:color w:val="5F259F"/>
          <w:sz w:val="24"/>
        </w:rPr>
        <w:t>PHONEPE</w:t>
      </w:r>
    </w:p>
    <w:p>
      <w:pPr>
        <w:spacing w:after="40"/>
      </w:pPr>
      <w:r>
        <w:rPr>
          <w:rFonts w:ascii="Aptos" w:hAnsi="Aptos"/>
          <w:b/>
          <w:color w:val="1A1033"/>
          <w:sz w:val="62"/>
        </w:rPr>
        <w:t>Payments Growth OS</w:t>
      </w:r>
    </w:p>
    <w:p>
      <w:r>
        <w:rPr>
          <w:rFonts w:ascii="Aptos" w:hAnsi="Aptos"/>
          <w:b w:val="0"/>
          <w:color w:val="5F259F"/>
          <w:sz w:val="30"/>
        </w:rPr>
        <w:t>From UPI Leadership to Active, Habitual &amp; Monetizable Payment Relationships</w:t>
      </w:r>
    </w:p>
    <w:p>
      <w:pPr>
        <w:jc w:val="center"/>
      </w:pPr>
      <w:r>
        <w:drawing>
          <wp:inline xmlns:a="http://schemas.openxmlformats.org/drawingml/2006/main" xmlns:pic="http://schemas.openxmlformats.org/drawingml/2006/picture">
            <wp:extent cx="6309360" cy="3570829"/>
            <wp:docPr id="1" name="Picture 1"/>
            <wp:cNvGraphicFramePr>
              <a:graphicFrameLocks noChangeAspect="1"/>
            </wp:cNvGraphicFramePr>
            <a:graphic>
              <a:graphicData uri="http://schemas.openxmlformats.org/drawingml/2006/picture">
                <pic:pic>
                  <pic:nvPicPr>
                    <pic:cNvPr id="0" name="cover_network.png"/>
                    <pic:cNvPicPr/>
                  </pic:nvPicPr>
                  <pic:blipFill>
                    <a:blip r:embed="rId10"/>
                    <a:stretch>
                      <a:fillRect/>
                    </a:stretch>
                  </pic:blipFill>
                  <pic:spPr>
                    <a:xfrm>
                      <a:off x="0" y="0"/>
                      <a:ext cx="6309360" cy="3570829"/>
                    </a:xfrm>
                    <a:prstGeom prst="rect"/>
                  </pic:spPr>
                </pic:pic>
              </a:graphicData>
            </a:graphic>
          </wp:inline>
        </w:drawing>
      </w:r>
    </w:p>
    <w:tbl>
      <w:tblPr>
        <w:tblW w:type="auto" w:w="0"/>
        <w:jc w:val="center"/>
        <w:tblLayout w:type="autofit"/>
        <w:tblLook w:firstColumn="1" w:firstRow="1" w:lastColumn="0" w:lastRow="0" w:noHBand="0" w:noVBand="1" w:val="04A0"/>
      </w:tblPr>
      <w:tblGrid>
        <w:gridCol w:w="2613"/>
        <w:gridCol w:w="2613"/>
        <w:gridCol w:w="2613"/>
        <w:gridCol w:w="2613"/>
      </w:tblGrid>
      <w:tr>
        <w:tc>
          <w:tcPr>
            <w:tcW w:type="dxa" w:w="2613"/>
            <w:shd w:fill="F5F0FA"/>
            <w:tcMar>
              <w:top w:w="100" w:type="dxa"/>
              <w:start w:w="80" w:type="dxa"/>
              <w:bottom w:w="100" w:type="dxa"/>
              <w:end w:w="80" w:type="dxa"/>
            </w:tcMar>
            <w:vAlign w:val="center"/>
          </w:tcPr>
          <w:p>
            <w:pPr>
              <w:jc w:val="center"/>
            </w:pPr>
            <w:r>
              <w:rPr>
                <w:rFonts w:ascii="Aptos" w:hAnsi="Aptos"/>
                <w:b/>
                <w:color w:val="5F259F"/>
                <w:sz w:val="36"/>
              </w:rPr>
              <w:t>711.7M</w:t>
            </w:r>
          </w:p>
          <w:p>
            <w:pPr>
              <w:jc w:val="center"/>
            </w:pPr>
            <w:r>
              <w:rPr>
                <w:rFonts w:ascii="Aptos" w:hAnsi="Aptos"/>
                <w:b w:val="0"/>
                <w:color w:val="5F6470"/>
                <w:sz w:val="15"/>
              </w:rPr>
              <w:t>Q2 2026 registered users</w:t>
            </w:r>
          </w:p>
        </w:tc>
        <w:tc>
          <w:tcPr>
            <w:tcW w:type="dxa" w:w="2613"/>
            <w:shd w:fill="F5F0FA"/>
            <w:tcMar>
              <w:top w:w="100" w:type="dxa"/>
              <w:start w:w="80" w:type="dxa"/>
              <w:bottom w:w="100" w:type="dxa"/>
              <w:end w:w="80" w:type="dxa"/>
            </w:tcMar>
            <w:vAlign w:val="center"/>
          </w:tcPr>
          <w:p>
            <w:pPr>
              <w:jc w:val="center"/>
            </w:pPr>
            <w:r>
              <w:rPr>
                <w:rFonts w:ascii="Aptos" w:hAnsi="Aptos"/>
                <w:b/>
                <w:color w:val="5F259F"/>
                <w:sz w:val="36"/>
              </w:rPr>
              <w:t>50.7M</w:t>
            </w:r>
          </w:p>
          <w:p>
            <w:pPr>
              <w:jc w:val="center"/>
            </w:pPr>
            <w:r>
              <w:rPr>
                <w:rFonts w:ascii="Aptos" w:hAnsi="Aptos"/>
                <w:b w:val="0"/>
                <w:color w:val="5F6470"/>
                <w:sz w:val="15"/>
              </w:rPr>
              <w:t>Q2 2026 registered merchants</w:t>
            </w:r>
          </w:p>
        </w:tc>
        <w:tc>
          <w:tcPr>
            <w:tcW w:type="dxa" w:w="2613"/>
            <w:shd w:fill="F5F0FA"/>
            <w:tcMar>
              <w:top w:w="100" w:type="dxa"/>
              <w:start w:w="80" w:type="dxa"/>
              <w:bottom w:w="100" w:type="dxa"/>
              <w:end w:w="80" w:type="dxa"/>
            </w:tcMar>
            <w:vAlign w:val="center"/>
          </w:tcPr>
          <w:p>
            <w:pPr>
              <w:jc w:val="center"/>
            </w:pPr>
            <w:r>
              <w:rPr>
                <w:rFonts w:ascii="Aptos" w:hAnsi="Aptos"/>
                <w:b/>
                <w:color w:val="5F259F"/>
                <w:sz w:val="36"/>
              </w:rPr>
              <w:t>11B</w:t>
            </w:r>
          </w:p>
          <w:p>
            <w:pPr>
              <w:jc w:val="center"/>
            </w:pPr>
            <w:r>
              <w:rPr>
                <w:rFonts w:ascii="Aptos" w:hAnsi="Aptos"/>
                <w:b w:val="0"/>
                <w:color w:val="5F6470"/>
                <w:sz w:val="15"/>
              </w:rPr>
              <w:t>Jul-2026 customer transactions</w:t>
            </w:r>
          </w:p>
        </w:tc>
        <w:tc>
          <w:tcPr>
            <w:tcW w:type="dxa" w:w="2613"/>
            <w:shd w:fill="F5F0FA"/>
            <w:tcMar>
              <w:top w:w="100" w:type="dxa"/>
              <w:start w:w="80" w:type="dxa"/>
              <w:bottom w:w="100" w:type="dxa"/>
              <w:end w:w="80" w:type="dxa"/>
            </w:tcMar>
            <w:vAlign w:val="center"/>
          </w:tcPr>
          <w:p>
            <w:pPr>
              <w:jc w:val="center"/>
            </w:pPr>
            <w:r>
              <w:rPr>
                <w:rFonts w:ascii="Aptos" w:hAnsi="Aptos"/>
                <w:b/>
                <w:color w:val="5F259F"/>
                <w:sz w:val="36"/>
              </w:rPr>
              <w:t>24.51B</w:t>
            </w:r>
          </w:p>
          <w:p>
            <w:pPr>
              <w:jc w:val="center"/>
            </w:pPr>
            <w:r>
              <w:rPr>
                <w:rFonts w:ascii="Aptos" w:hAnsi="Aptos"/>
                <w:b w:val="0"/>
                <w:color w:val="5F6470"/>
                <w:sz w:val="15"/>
              </w:rPr>
              <w:t>India UPI txns, Aug-2026</w:t>
            </w:r>
          </w:p>
        </w:tc>
      </w:tr>
    </w:tbl>
    <w:p>
      <w:pPr>
        <w:spacing w:after="20"/>
      </w:pPr>
    </w:p>
    <w:p>
      <w:pPr>
        <w:spacing w:after="80" w:line="259" w:lineRule="auto"/>
      </w:pPr>
      <w:r>
        <w:rPr>
          <w:rFonts w:ascii="Aptos" w:hAnsi="Aptos"/>
          <w:b w:val="0"/>
          <w:color w:val="1A1033"/>
          <w:sz w:val="17"/>
        </w:rPr>
        <w:t>Product Analytics  |  Merchant Growth  |  Experimentation  |  Geographic Strategy  |  SQL</w:t>
      </w:r>
    </w:p>
    <w:p>
      <w:pPr>
        <w:spacing w:after="80" w:line="259" w:lineRule="auto"/>
      </w:pPr>
      <w:r>
        <w:rPr>
          <w:rFonts w:ascii="Aptos" w:hAnsi="Aptos"/>
          <w:b w:val="0"/>
          <w:color w:val="1A1033"/>
          <w:sz w:val="16"/>
        </w:rPr>
        <w:t>Research cut-off: 8 September 2026  •  Public data + clearly labeled modeled analytics layer</w:t>
      </w:r>
    </w:p>
    <w:p>
      <w:r>
        <w:br w:type="page"/>
      </w:r>
    </w:p>
    <w:p>
      <w:r>
        <w:rPr>
          <w:rFonts w:ascii="Aptos" w:hAnsi="Aptos"/>
          <w:b/>
          <w:color w:val="5F259F"/>
          <w:sz w:val="48"/>
        </w:rPr>
        <w:t>01  Executive Summary</w:t>
      </w:r>
    </w:p>
    <w:p>
      <w:r>
        <w:rPr>
          <w:rFonts w:ascii="Aptos" w:hAnsi="Aptos"/>
          <w:b w:val="0"/>
          <w:color w:val="5F6470"/>
          <w:sz w:val="22"/>
        </w:rPr>
        <w:t>The strategic problem is activation quality, not registration scale.</w:t>
      </w:r>
    </w:p>
    <w:tbl>
      <w:tblPr>
        <w:tblW w:type="auto" w:w="0"/>
        <w:tblLook w:firstColumn="1" w:firstRow="1" w:lastColumn="0" w:lastRow="0" w:noHBand="0" w:noVBand="1" w:val="04A0"/>
      </w:tblPr>
      <w:tblGrid>
        <w:gridCol w:w="10454"/>
      </w:tblGrid>
      <w:tr>
        <w:tc>
          <w:tcPr>
            <w:tcW w:type="dxa" w:w="10454"/>
            <w:shd w:fill="F5F0FA"/>
            <w:tcMar>
              <w:top w:w="130" w:type="dxa"/>
              <w:start w:w="150" w:type="dxa"/>
              <w:bottom w:w="130" w:type="dxa"/>
              <w:end w:w="150" w:type="dxa"/>
            </w:tcMar>
          </w:tcPr>
          <w:p>
            <w:r>
              <w:rPr>
                <w:rFonts w:ascii="Aptos" w:hAnsi="Aptos"/>
                <w:b/>
                <w:color w:val="5F259F"/>
                <w:sz w:val="19"/>
              </w:rPr>
              <w:t xml:space="preserve">CORE QUESTION  </w:t>
            </w:r>
            <w:r>
              <w:rPr>
                <w:rFonts w:ascii="Aptos" w:hAnsi="Aptos"/>
                <w:b w:val="0"/>
                <w:color w:val="1A1033"/>
                <w:sz w:val="18"/>
              </w:rPr>
              <w:t>Where should PhonePe invest next to maximize durable payments growth: registrations, activation, habit, merchant depth, monetization, or new access channels?</w:t>
            </w:r>
          </w:p>
        </w:tc>
      </w:tr>
    </w:tbl>
    <w:p>
      <w:pPr>
        <w:spacing w:after="20"/>
      </w:pPr>
    </w:p>
    <w:tbl>
      <w:tblPr>
        <w:tblW w:type="auto" w:w="0"/>
        <w:jc w:val="center"/>
        <w:tblLayout w:type="autofit"/>
        <w:tblLook w:firstColumn="1" w:firstRow="1" w:lastColumn="0" w:lastRow="0" w:noHBand="0" w:noVBand="1" w:val="04A0"/>
      </w:tblPr>
      <w:tblGrid>
        <w:gridCol w:w="2613"/>
        <w:gridCol w:w="2613"/>
        <w:gridCol w:w="2613"/>
        <w:gridCol w:w="2613"/>
      </w:tblGrid>
      <w:tr>
        <w:tc>
          <w:tcPr>
            <w:tcW w:type="dxa" w:w="2613"/>
            <w:shd w:fill="F5F0FA"/>
            <w:tcMar>
              <w:top w:w="100" w:type="dxa"/>
              <w:start w:w="80" w:type="dxa"/>
              <w:bottom w:w="100" w:type="dxa"/>
              <w:end w:w="80" w:type="dxa"/>
            </w:tcMar>
            <w:vAlign w:val="center"/>
          </w:tcPr>
          <w:p>
            <w:pPr>
              <w:jc w:val="center"/>
            </w:pPr>
            <w:r>
              <w:rPr>
                <w:rFonts w:ascii="Aptos" w:hAnsi="Aptos"/>
                <w:b/>
                <w:color w:val="5F259F"/>
                <w:sz w:val="36"/>
              </w:rPr>
              <w:t>618.4M</w:t>
            </w:r>
          </w:p>
          <w:p>
            <w:pPr>
              <w:jc w:val="center"/>
            </w:pPr>
            <w:r>
              <w:rPr>
                <w:rFonts w:ascii="Aptos" w:hAnsi="Aptos"/>
                <w:b w:val="0"/>
                <w:color w:val="5F6470"/>
                <w:sz w:val="15"/>
              </w:rPr>
              <w:t>Registered users, Mar-25</w:t>
            </w:r>
          </w:p>
        </w:tc>
        <w:tc>
          <w:tcPr>
            <w:tcW w:type="dxa" w:w="2613"/>
            <w:shd w:fill="F5F0FA"/>
            <w:tcMar>
              <w:top w:w="100" w:type="dxa"/>
              <w:start w:w="80" w:type="dxa"/>
              <w:bottom w:w="100" w:type="dxa"/>
              <w:end w:w="80" w:type="dxa"/>
            </w:tcMar>
            <w:vAlign w:val="center"/>
          </w:tcPr>
          <w:p>
            <w:pPr>
              <w:jc w:val="center"/>
            </w:pPr>
            <w:r>
              <w:rPr>
                <w:rFonts w:ascii="Aptos" w:hAnsi="Aptos"/>
                <w:b/>
                <w:color w:val="5F259F"/>
                <w:sz w:val="36"/>
              </w:rPr>
              <w:t>230.08M</w:t>
            </w:r>
          </w:p>
          <w:p>
            <w:pPr>
              <w:jc w:val="center"/>
            </w:pPr>
            <w:r>
              <w:rPr>
                <w:rFonts w:ascii="Aptos" w:hAnsi="Aptos"/>
                <w:b w:val="0"/>
                <w:color w:val="5F6470"/>
                <w:sz w:val="15"/>
              </w:rPr>
              <w:t>MAC, Mar-25</w:t>
            </w:r>
          </w:p>
        </w:tc>
        <w:tc>
          <w:tcPr>
            <w:tcW w:type="dxa" w:w="2613"/>
            <w:shd w:fill="F5F0FA"/>
            <w:tcMar>
              <w:top w:w="100" w:type="dxa"/>
              <w:start w:w="80" w:type="dxa"/>
              <w:bottom w:w="100" w:type="dxa"/>
              <w:end w:w="80" w:type="dxa"/>
            </w:tcMar>
            <w:vAlign w:val="center"/>
          </w:tcPr>
          <w:p>
            <w:pPr>
              <w:jc w:val="center"/>
            </w:pPr>
            <w:r>
              <w:rPr>
                <w:rFonts w:ascii="Aptos" w:hAnsi="Aptos"/>
                <w:b/>
                <w:color w:val="5F259F"/>
                <w:sz w:val="36"/>
              </w:rPr>
              <w:t>44.87M</w:t>
            </w:r>
          </w:p>
          <w:p>
            <w:pPr>
              <w:jc w:val="center"/>
            </w:pPr>
            <w:r>
              <w:rPr>
                <w:rFonts w:ascii="Aptos" w:hAnsi="Aptos"/>
                <w:b w:val="0"/>
                <w:color w:val="5F6470"/>
                <w:sz w:val="15"/>
              </w:rPr>
              <w:t>Registered merchants, Mar-25</w:t>
            </w:r>
          </w:p>
        </w:tc>
        <w:tc>
          <w:tcPr>
            <w:tcW w:type="dxa" w:w="2613"/>
            <w:shd w:fill="F5F0FA"/>
            <w:tcMar>
              <w:top w:w="100" w:type="dxa"/>
              <w:start w:w="80" w:type="dxa"/>
              <w:bottom w:w="100" w:type="dxa"/>
              <w:end w:w="80" w:type="dxa"/>
            </w:tcMar>
            <w:vAlign w:val="center"/>
          </w:tcPr>
          <w:p>
            <w:pPr>
              <w:jc w:val="center"/>
            </w:pPr>
            <w:r>
              <w:rPr>
                <w:rFonts w:ascii="Aptos" w:hAnsi="Aptos"/>
                <w:b/>
                <w:color w:val="5F259F"/>
                <w:sz w:val="36"/>
              </w:rPr>
              <w:t>11.31M</w:t>
            </w:r>
          </w:p>
          <w:p>
            <w:pPr>
              <w:jc w:val="center"/>
            </w:pPr>
            <w:r>
              <w:rPr>
                <w:rFonts w:ascii="Aptos" w:hAnsi="Aptos"/>
                <w:b w:val="0"/>
                <w:color w:val="5F6470"/>
                <w:sz w:val="15"/>
              </w:rPr>
              <w:t>MAM, Mar-25</w:t>
            </w:r>
          </w:p>
        </w:tc>
      </w:tr>
    </w:tbl>
    <w:p>
      <w:pPr>
        <w:spacing w:after="20"/>
      </w:pPr>
    </w:p>
    <w:p>
      <w:pPr>
        <w:spacing w:after="80" w:line="259" w:lineRule="auto"/>
      </w:pPr>
      <w:r>
        <w:rPr>
          <w:rFonts w:ascii="Aptos" w:hAnsi="Aptos"/>
          <w:b w:val="0"/>
          <w:color w:val="1A1033"/>
          <w:sz w:val="19"/>
        </w:rPr>
        <w:t>PhonePe already operates at population scale. Yet its filing separates lifetime registered populations from monthly active relationships. This creates a large activation-depth question - while the users and merchants who are active are simultaneously becoming more habitual.</w:t>
      </w:r>
    </w:p>
    <w:p>
      <w:pPr>
        <w:pStyle w:val="ListBullet"/>
        <w:spacing w:after="40"/>
        <w:ind w:left="259"/>
      </w:pPr>
      <w:r>
        <w:rPr>
          <w:rFonts w:ascii="Aptos" w:hAnsi="Aptos"/>
          <w:b w:val="0"/>
          <w:color w:val="1A1033"/>
          <w:sz w:val="18"/>
        </w:rPr>
        <w:t>Consumer TPC increased from 25.50/month in Mar-2023 to 38.10 in Mar-2025; habitual users (&gt;30 TPC) rose from 28.41% to 41.43% of MAC.</w:t>
      </w:r>
    </w:p>
    <w:p>
      <w:pPr>
        <w:pStyle w:val="ListBullet"/>
        <w:spacing w:after="40"/>
        <w:ind w:left="259"/>
      </w:pPr>
      <w:r>
        <w:rPr>
          <w:rFonts w:ascii="Aptos" w:hAnsi="Aptos"/>
          <w:b w:val="0"/>
          <w:color w:val="1A1033"/>
          <w:sz w:val="18"/>
        </w:rPr>
        <w:t>Merchant TPAM increased from 147.87 to 379.16 between Mar-2023 and Sep-2025; DAM/MAM rose from 44.18% to 60.77%.</w:t>
      </w:r>
    </w:p>
    <w:p>
      <w:pPr>
        <w:pStyle w:val="ListBullet"/>
        <w:spacing w:after="40"/>
        <w:ind w:left="259"/>
      </w:pPr>
      <w:r>
        <w:rPr>
          <w:rFonts w:ascii="Aptos" w:hAnsi="Aptos"/>
          <w:b w:val="0"/>
          <w:color w:val="1A1033"/>
          <w:sz w:val="18"/>
        </w:rPr>
        <w:t>Q2 2026 PhonePe Pulse shows Business payments at ~64% of transaction count but only ~23% of value - merchant payments are a high-frequency engine.</w:t>
      </w:r>
    </w:p>
    <w:p>
      <w:pPr>
        <w:pStyle w:val="ListBullet"/>
        <w:spacing w:after="40"/>
        <w:ind w:left="259"/>
      </w:pPr>
      <w:r>
        <w:rPr>
          <w:rFonts w:ascii="Aptos" w:hAnsi="Aptos"/>
          <w:b w:val="0"/>
          <w:color w:val="1A1033"/>
          <w:sz w:val="18"/>
        </w:rPr>
        <w:t>FY25 revenue was ₹7,114.9 Cr; FY26 revenue increased to ₹7,920.5 Cr while reported net loss widened to ₹2,791.6 Cr, raising the importance of durable monetization.</w:t>
      </w:r>
    </w:p>
    <w:p>
      <w:pPr>
        <w:pStyle w:val="Heading2"/>
        <w:spacing w:before="120" w:after="80"/>
      </w:pPr>
      <w:r>
        <w:rPr>
          <w:rFonts w:ascii="Aptos" w:hAnsi="Aptos"/>
          <w:b/>
          <w:color w:val="1A1033"/>
          <w:sz w:val="24"/>
        </w:rPr>
        <w:t>Recommendation</w:t>
      </w:r>
    </w:p>
    <w:p>
      <w:pPr>
        <w:pStyle w:val="ListBullet"/>
        <w:spacing w:after="40"/>
        <w:ind w:left="259"/>
      </w:pPr>
      <w:r>
        <w:rPr>
          <w:rFonts w:ascii="Aptos" w:hAnsi="Aptos"/>
          <w:b w:val="0"/>
          <w:color w:val="1A1033"/>
          <w:sz w:val="18"/>
        </w:rPr>
        <w:t>P0 - Merchant Launchpad: first transaction → 30-day retained merchant.</w:t>
      </w:r>
    </w:p>
    <w:p>
      <w:pPr>
        <w:pStyle w:val="ListBullet"/>
        <w:spacing w:after="40"/>
        <w:ind w:left="259"/>
      </w:pPr>
      <w:r>
        <w:rPr>
          <w:rFonts w:ascii="Aptos" w:hAnsi="Aptos"/>
          <w:b w:val="0"/>
          <w:color w:val="1A1033"/>
          <w:sz w:val="18"/>
        </w:rPr>
        <w:t>P0 - Geographic activation: target large, already-distributed but lower-intensity states.</w:t>
      </w:r>
    </w:p>
    <w:p>
      <w:pPr>
        <w:pStyle w:val="ListBullet"/>
        <w:spacing w:after="40"/>
        <w:ind w:left="259"/>
      </w:pPr>
      <w:r>
        <w:rPr>
          <w:rFonts w:ascii="Aptos" w:hAnsi="Aptos"/>
          <w:b w:val="0"/>
          <w:color w:val="1A1033"/>
          <w:sz w:val="18"/>
        </w:rPr>
        <w:t>P1 - Consumer Habit Ladder: migrate developing users into recurring multi-use-case behavior.</w:t>
      </w:r>
    </w:p>
    <w:p>
      <w:pPr>
        <w:pStyle w:val="ListBullet"/>
        <w:spacing w:after="40"/>
        <w:ind w:left="259"/>
      </w:pPr>
      <w:r>
        <w:rPr>
          <w:rFonts w:ascii="Aptos" w:hAnsi="Aptos"/>
          <w:b w:val="0"/>
          <w:color w:val="1A1033"/>
          <w:sz w:val="18"/>
        </w:rPr>
        <w:t>P1 - Merchant depth: devices/business tools/financial services after usage fit.</w:t>
      </w:r>
    </w:p>
    <w:p>
      <w:pPr>
        <w:pStyle w:val="ListBullet"/>
        <w:spacing w:after="40"/>
        <w:ind w:left="259"/>
      </w:pPr>
      <w:r>
        <w:rPr>
          <w:rFonts w:ascii="Aptos" w:hAnsi="Aptos"/>
          <w:b w:val="0"/>
          <w:color w:val="1A1033"/>
          <w:sz w:val="18"/>
        </w:rPr>
        <w:t>Strategic - UPI 123Pay: optimize feature-phone activation and retention, not pre-installs.</w:t>
      </w:r>
    </w:p>
    <w:p>
      <w:pPr>
        <w:spacing w:after="80" w:line="259" w:lineRule="auto"/>
      </w:pPr>
      <w:r>
        <w:rPr>
          <w:rFonts w:ascii="Aptos" w:hAnsi="Aptos"/>
          <w:b w:val="0"/>
          <w:color w:val="1A1033"/>
          <w:sz w:val="15"/>
        </w:rPr>
        <w:t>Source basis: PhonePe UDRHP-I, PhonePe Pulse Q2 2026, PhonePe current releases, NPCI and current regulatory-filing coverage. Reported, derived and modeled numbers are explicitly separated.</w:t>
      </w:r>
    </w:p>
    <w:p>
      <w:r>
        <w:br w:type="page"/>
      </w:r>
    </w:p>
    <w:p>
      <w:r>
        <w:rPr>
          <w:rFonts w:ascii="Aptos" w:hAnsi="Aptos"/>
          <w:b/>
          <w:color w:val="5F259F"/>
          <w:sz w:val="48"/>
        </w:rPr>
        <w:t>02  Market &amp; Current Scale</w:t>
      </w:r>
    </w:p>
    <w:p>
      <w:r>
        <w:rPr>
          <w:rFonts w:ascii="Aptos" w:hAnsi="Aptos"/>
          <w:b w:val="0"/>
          <w:color w:val="5F6470"/>
          <w:sz w:val="22"/>
        </w:rPr>
        <w:t>UPI is already national infrastructure; PhonePe is optimizing within a mature, enormous rail.</w:t>
      </w:r>
    </w:p>
    <w:tbl>
      <w:tblPr>
        <w:tblW w:type="auto" w:w="0"/>
        <w:jc w:val="center"/>
        <w:tblLayout w:type="autofit"/>
        <w:tblLook w:firstColumn="1" w:firstRow="1" w:lastColumn="0" w:lastRow="0" w:noHBand="0" w:noVBand="1" w:val="04A0"/>
      </w:tblPr>
      <w:tblGrid>
        <w:gridCol w:w="2613"/>
        <w:gridCol w:w="2613"/>
        <w:gridCol w:w="2613"/>
        <w:gridCol w:w="2613"/>
      </w:tblGrid>
      <w:tr>
        <w:tc>
          <w:tcPr>
            <w:tcW w:type="dxa" w:w="2613"/>
            <w:shd w:fill="F5F0FA"/>
            <w:tcMar>
              <w:top w:w="100" w:type="dxa"/>
              <w:start w:w="80" w:type="dxa"/>
              <w:bottom w:w="100" w:type="dxa"/>
              <w:end w:w="80" w:type="dxa"/>
            </w:tcMar>
            <w:vAlign w:val="center"/>
          </w:tcPr>
          <w:p>
            <w:pPr>
              <w:jc w:val="center"/>
            </w:pPr>
            <w:r>
              <w:rPr>
                <w:rFonts w:ascii="Aptos" w:hAnsi="Aptos"/>
                <w:b/>
                <w:color w:val="5F259F"/>
                <w:sz w:val="36"/>
              </w:rPr>
              <w:t>22.35B</w:t>
            </w:r>
          </w:p>
          <w:p>
            <w:pPr>
              <w:jc w:val="center"/>
            </w:pPr>
            <w:r>
              <w:rPr>
                <w:rFonts w:ascii="Aptos" w:hAnsi="Aptos"/>
                <w:b w:val="0"/>
                <w:color w:val="5F6470"/>
                <w:sz w:val="15"/>
              </w:rPr>
              <w:t>UPI txns Apr-26</w:t>
            </w:r>
          </w:p>
        </w:tc>
        <w:tc>
          <w:tcPr>
            <w:tcW w:type="dxa" w:w="2613"/>
            <w:shd w:fill="F5F0FA"/>
            <w:tcMar>
              <w:top w:w="100" w:type="dxa"/>
              <w:start w:w="80" w:type="dxa"/>
              <w:bottom w:w="100" w:type="dxa"/>
              <w:end w:w="80" w:type="dxa"/>
            </w:tcMar>
            <w:vAlign w:val="center"/>
          </w:tcPr>
          <w:p>
            <w:pPr>
              <w:jc w:val="center"/>
            </w:pPr>
            <w:r>
              <w:rPr>
                <w:rFonts w:ascii="Aptos" w:hAnsi="Aptos"/>
                <w:b/>
                <w:color w:val="5F259F"/>
                <w:sz w:val="36"/>
              </w:rPr>
              <w:t>23.20B</w:t>
            </w:r>
          </w:p>
          <w:p>
            <w:pPr>
              <w:jc w:val="center"/>
            </w:pPr>
            <w:r>
              <w:rPr>
                <w:rFonts w:ascii="Aptos" w:hAnsi="Aptos"/>
                <w:b w:val="0"/>
                <w:color w:val="5F6470"/>
                <w:sz w:val="15"/>
              </w:rPr>
              <w:t>UPI txns May-26</w:t>
            </w:r>
          </w:p>
        </w:tc>
        <w:tc>
          <w:tcPr>
            <w:tcW w:type="dxa" w:w="2613"/>
            <w:shd w:fill="F5F0FA"/>
            <w:tcMar>
              <w:top w:w="100" w:type="dxa"/>
              <w:start w:w="80" w:type="dxa"/>
              <w:bottom w:w="100" w:type="dxa"/>
              <w:end w:w="80" w:type="dxa"/>
            </w:tcMar>
            <w:vAlign w:val="center"/>
          </w:tcPr>
          <w:p>
            <w:pPr>
              <w:jc w:val="center"/>
            </w:pPr>
            <w:r>
              <w:rPr>
                <w:rFonts w:ascii="Aptos" w:hAnsi="Aptos"/>
                <w:b/>
                <w:color w:val="5F259F"/>
                <w:sz w:val="36"/>
              </w:rPr>
              <w:t>22.72B</w:t>
            </w:r>
          </w:p>
          <w:p>
            <w:pPr>
              <w:jc w:val="center"/>
            </w:pPr>
            <w:r>
              <w:rPr>
                <w:rFonts w:ascii="Aptos" w:hAnsi="Aptos"/>
                <w:b w:val="0"/>
                <w:color w:val="5F6470"/>
                <w:sz w:val="15"/>
              </w:rPr>
              <w:t>UPI txns Jun-26</w:t>
            </w:r>
          </w:p>
        </w:tc>
        <w:tc>
          <w:tcPr>
            <w:tcW w:type="dxa" w:w="2613"/>
            <w:shd w:fill="F5F0FA"/>
            <w:tcMar>
              <w:top w:w="100" w:type="dxa"/>
              <w:start w:w="80" w:type="dxa"/>
              <w:bottom w:w="100" w:type="dxa"/>
              <w:end w:w="80" w:type="dxa"/>
            </w:tcMar>
            <w:vAlign w:val="center"/>
          </w:tcPr>
          <w:p>
            <w:pPr>
              <w:jc w:val="center"/>
            </w:pPr>
            <w:r>
              <w:rPr>
                <w:rFonts w:ascii="Aptos" w:hAnsi="Aptos"/>
                <w:b/>
                <w:color w:val="5F259F"/>
                <w:sz w:val="36"/>
              </w:rPr>
              <w:t>24.51B</w:t>
            </w:r>
          </w:p>
          <w:p>
            <w:pPr>
              <w:jc w:val="center"/>
            </w:pPr>
            <w:r>
              <w:rPr>
                <w:rFonts w:ascii="Aptos" w:hAnsi="Aptos"/>
                <w:b w:val="0"/>
                <w:color w:val="5F6470"/>
                <w:sz w:val="15"/>
              </w:rPr>
              <w:t>UPI txns Aug-26</w:t>
            </w:r>
          </w:p>
        </w:tc>
      </w:tr>
    </w:tbl>
    <w:p>
      <w:pPr>
        <w:spacing w:after="20"/>
      </w:pPr>
    </w:p>
    <w:p>
      <w:pPr>
        <w:spacing w:after="80" w:line="259" w:lineRule="auto"/>
      </w:pPr>
      <w:r>
        <w:rPr>
          <w:rFonts w:ascii="Aptos" w:hAnsi="Aptos"/>
          <w:b w:val="0"/>
          <w:color w:val="1A1033"/>
          <w:sz w:val="19"/>
        </w:rPr>
        <w:t>NPCI monthly statistics show UPI processing more than 22B transactions per month through Q1 FY27, and Reuters reported a new record of 24.51B transactions worth ₹29.82T in Aug-2026.</w:t>
      </w:r>
    </w:p>
    <w:tbl>
      <w:tblPr>
        <w:tblW w:type="auto" w:w="0"/>
        <w:jc w:val="center"/>
        <w:tblLayout w:type="autofit"/>
        <w:tblLook w:firstColumn="1" w:firstRow="1" w:lastColumn="0" w:lastRow="0" w:noHBand="0" w:noVBand="1" w:val="04A0"/>
      </w:tblPr>
      <w:tblGrid>
        <w:gridCol w:w="2613"/>
        <w:gridCol w:w="2613"/>
        <w:gridCol w:w="2613"/>
        <w:gridCol w:w="2613"/>
      </w:tblGrid>
      <w:tr>
        <w:tc>
          <w:tcPr>
            <w:tcW w:type="dxa" w:w="2613"/>
            <w:shd w:fill="F5F0FA"/>
            <w:tcMar>
              <w:top w:w="100" w:type="dxa"/>
              <w:start w:w="80" w:type="dxa"/>
              <w:bottom w:w="100" w:type="dxa"/>
              <w:end w:w="80" w:type="dxa"/>
            </w:tcMar>
            <w:vAlign w:val="center"/>
          </w:tcPr>
          <w:p>
            <w:pPr>
              <w:jc w:val="center"/>
            </w:pPr>
            <w:r>
              <w:rPr>
                <w:rFonts w:ascii="Aptos" w:hAnsi="Aptos"/>
                <w:b/>
                <w:color w:val="5F259F"/>
                <w:sz w:val="36"/>
              </w:rPr>
              <w:t>718M</w:t>
            </w:r>
          </w:p>
          <w:p>
            <w:pPr>
              <w:jc w:val="center"/>
            </w:pPr>
            <w:r>
              <w:rPr>
                <w:rFonts w:ascii="Aptos" w:hAnsi="Aptos"/>
                <w:b w:val="0"/>
                <w:color w:val="5F6470"/>
                <w:sz w:val="15"/>
              </w:rPr>
              <w:t>LTD users, Jul-26</w:t>
            </w:r>
          </w:p>
        </w:tc>
        <w:tc>
          <w:tcPr>
            <w:tcW w:type="dxa" w:w="2613"/>
            <w:shd w:fill="F5F0FA"/>
            <w:tcMar>
              <w:top w:w="100" w:type="dxa"/>
              <w:start w:w="80" w:type="dxa"/>
              <w:bottom w:w="100" w:type="dxa"/>
              <w:end w:w="80" w:type="dxa"/>
            </w:tcMar>
            <w:vAlign w:val="center"/>
          </w:tcPr>
          <w:p>
            <w:pPr>
              <w:jc w:val="center"/>
            </w:pPr>
            <w:r>
              <w:rPr>
                <w:rFonts w:ascii="Aptos" w:hAnsi="Aptos"/>
                <w:b/>
                <w:color w:val="5F259F"/>
                <w:sz w:val="36"/>
              </w:rPr>
              <w:t>50M+</w:t>
            </w:r>
          </w:p>
          <w:p>
            <w:pPr>
              <w:jc w:val="center"/>
            </w:pPr>
            <w:r>
              <w:rPr>
                <w:rFonts w:ascii="Aptos" w:hAnsi="Aptos"/>
                <w:b w:val="0"/>
                <w:color w:val="5F6470"/>
                <w:sz w:val="15"/>
              </w:rPr>
              <w:t>LTD merchants, Jul-26</w:t>
            </w:r>
          </w:p>
        </w:tc>
        <w:tc>
          <w:tcPr>
            <w:tcW w:type="dxa" w:w="2613"/>
            <w:shd w:fill="F5F0FA"/>
            <w:tcMar>
              <w:top w:w="100" w:type="dxa"/>
              <w:start w:w="80" w:type="dxa"/>
              <w:bottom w:w="100" w:type="dxa"/>
              <w:end w:w="80" w:type="dxa"/>
            </w:tcMar>
            <w:vAlign w:val="center"/>
          </w:tcPr>
          <w:p>
            <w:pPr>
              <w:jc w:val="center"/>
            </w:pPr>
            <w:r>
              <w:rPr>
                <w:rFonts w:ascii="Aptos" w:hAnsi="Aptos"/>
                <w:b/>
                <w:color w:val="5F259F"/>
                <w:sz w:val="36"/>
              </w:rPr>
              <w:t>11B</w:t>
            </w:r>
          </w:p>
          <w:p>
            <w:pPr>
              <w:jc w:val="center"/>
            </w:pPr>
            <w:r>
              <w:rPr>
                <w:rFonts w:ascii="Aptos" w:hAnsi="Aptos"/>
                <w:b w:val="0"/>
                <w:color w:val="5F6470"/>
                <w:sz w:val="15"/>
              </w:rPr>
              <w:t>PhonePe customer txns, Jul-26</w:t>
            </w:r>
          </w:p>
        </w:tc>
        <w:tc>
          <w:tcPr>
            <w:tcW w:type="dxa" w:w="2613"/>
            <w:shd w:fill="F5F0FA"/>
            <w:tcMar>
              <w:top w:w="100" w:type="dxa"/>
              <w:start w:w="80" w:type="dxa"/>
              <w:bottom w:w="100" w:type="dxa"/>
              <w:end w:w="80" w:type="dxa"/>
            </w:tcMar>
            <w:vAlign w:val="center"/>
          </w:tcPr>
          <w:p>
            <w:pPr>
              <w:jc w:val="center"/>
            </w:pPr>
            <w:r>
              <w:rPr>
                <w:rFonts w:ascii="Aptos" w:hAnsi="Aptos"/>
                <w:b/>
                <w:color w:val="5F259F"/>
                <w:sz w:val="36"/>
              </w:rPr>
              <w:t>98%+</w:t>
            </w:r>
          </w:p>
          <w:p>
            <w:pPr>
              <w:jc w:val="center"/>
            </w:pPr>
            <w:r>
              <w:rPr>
                <w:rFonts w:ascii="Aptos" w:hAnsi="Aptos"/>
                <w:b w:val="0"/>
                <w:color w:val="5F6470"/>
                <w:sz w:val="15"/>
              </w:rPr>
              <w:t>postal-code merchant reach</w:t>
            </w:r>
          </w:p>
        </w:tc>
      </w:tr>
    </w:tbl>
    <w:p>
      <w:pPr>
        <w:spacing w:after="20"/>
      </w:pPr>
    </w:p>
    <w:tbl>
      <w:tblPr>
        <w:tblW w:type="auto" w:w="0"/>
        <w:tblLook w:firstColumn="1" w:firstRow="1" w:lastColumn="0" w:lastRow="0" w:noHBand="0" w:noVBand="1" w:val="04A0"/>
      </w:tblPr>
      <w:tblGrid>
        <w:gridCol w:w="10454"/>
      </w:tblGrid>
      <w:tr>
        <w:tc>
          <w:tcPr>
            <w:tcW w:type="dxa" w:w="10454"/>
            <w:shd w:fill="F5F0FA"/>
            <w:tcMar>
              <w:top w:w="130" w:type="dxa"/>
              <w:start w:w="150" w:type="dxa"/>
              <w:bottom w:w="130" w:type="dxa"/>
              <w:end w:w="150" w:type="dxa"/>
            </w:tcMar>
          </w:tcPr>
          <w:p>
            <w:r>
              <w:rPr>
                <w:rFonts w:ascii="Aptos" w:hAnsi="Aptos"/>
                <w:b/>
                <w:color w:val="5F259F"/>
                <w:sz w:val="19"/>
              </w:rPr>
              <w:t xml:space="preserve">DATA DISCIPLINE  </w:t>
            </w:r>
            <w:r>
              <w:rPr>
                <w:rFonts w:ascii="Aptos" w:hAnsi="Aptos"/>
                <w:b w:val="0"/>
                <w:color w:val="1A1033"/>
                <w:sz w:val="18"/>
              </w:rPr>
              <w:t>PhonePe Pulse Total Transactions is not the same metric as NPCI payer-app volume. Pulse includes transactions initiated by PhonePe customers OR received by registered PhonePe merchants; market-share analysis must use NPCI/TPAP definitions separately.</w:t>
            </w:r>
          </w:p>
        </w:tc>
      </w:tr>
    </w:tbl>
    <w:p>
      <w:pPr>
        <w:spacing w:after="20"/>
      </w:pPr>
    </w:p>
    <w:p>
      <w:pPr>
        <w:pStyle w:val="Heading2"/>
        <w:spacing w:before="120" w:after="80"/>
      </w:pPr>
      <w:r>
        <w:rPr>
          <w:rFonts w:ascii="Aptos" w:hAnsi="Aptos"/>
          <w:b/>
          <w:color w:val="1A1033"/>
          <w:sz w:val="24"/>
        </w:rPr>
        <w:t>Why this matters for the case</w:t>
      </w:r>
    </w:p>
    <w:p>
      <w:pPr>
        <w:spacing w:after="80" w:line="259" w:lineRule="auto"/>
      </w:pPr>
      <w:r>
        <w:rPr>
          <w:rFonts w:ascii="Aptos" w:hAnsi="Aptos"/>
          <w:b w:val="0"/>
          <w:color w:val="1A1033"/>
          <w:sz w:val="19"/>
        </w:rPr>
        <w:t>At this scale, acquisition remains useful at the margin but is no longer a sufficient growth strategy. The product system must distinguish reach, activation, retention, transaction depth, trust and revenue quality.</w:t>
      </w:r>
    </w:p>
    <w:p>
      <w:r>
        <w:br w:type="page"/>
      </w:r>
    </w:p>
    <w:p>
      <w:r>
        <w:rPr>
          <w:rFonts w:ascii="Aptos" w:hAnsi="Aptos"/>
          <w:b/>
          <w:color w:val="5F259F"/>
          <w:sz w:val="48"/>
        </w:rPr>
        <w:t>03  Business Model &amp; Monetization</w:t>
      </w:r>
    </w:p>
    <w:p>
      <w:r>
        <w:rPr>
          <w:rFonts w:ascii="Aptos" w:hAnsi="Aptos"/>
          <w:b w:val="0"/>
          <w:color w:val="5F6470"/>
          <w:sz w:val="22"/>
        </w:rPr>
        <w:t>Payments create distribution; monetization increasingly sits on merchant and financial-service layers.</w:t>
      </w:r>
    </w:p>
    <w:p>
      <w:pPr>
        <w:jc w:val="center"/>
      </w:pPr>
      <w:r>
        <w:drawing>
          <wp:inline xmlns:a="http://schemas.openxmlformats.org/drawingml/2006/main" xmlns:pic="http://schemas.openxmlformats.org/drawingml/2006/picture">
            <wp:extent cx="6035040" cy="3405701"/>
            <wp:docPr id="2" name="Picture 2"/>
            <wp:cNvGraphicFramePr>
              <a:graphicFrameLocks noChangeAspect="1"/>
            </wp:cNvGraphicFramePr>
            <a:graphic>
              <a:graphicData uri="http://schemas.openxmlformats.org/drawingml/2006/picture">
                <pic:pic>
                  <pic:nvPicPr>
                    <pic:cNvPr id="0" name="revenue_mix.png"/>
                    <pic:cNvPicPr/>
                  </pic:nvPicPr>
                  <pic:blipFill>
                    <a:blip r:embed="rId11"/>
                    <a:stretch>
                      <a:fillRect/>
                    </a:stretch>
                  </pic:blipFill>
                  <pic:spPr>
                    <a:xfrm>
                      <a:off x="0" y="0"/>
                      <a:ext cx="6035040" cy="3405701"/>
                    </a:xfrm>
                    <a:prstGeom prst="rect"/>
                  </pic:spPr>
                </pic:pic>
              </a:graphicData>
            </a:graphic>
          </wp:inline>
        </w:drawing>
      </w:r>
    </w:p>
    <w:p>
      <w:pPr>
        <w:jc w:val="center"/>
      </w:pPr>
      <w:r>
        <w:rPr>
          <w:rFonts w:ascii="Aptos" w:hAnsi="Aptos"/>
          <w:b w:val="0"/>
          <w:color w:val="5F6470"/>
          <w:sz w:val="14"/>
        </w:rPr>
        <w:t>REPORTED: PhonePe UDRHP FY25 revenue streams. ₹ crore.</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5F259F"/>
            <w:tcMar>
              <w:top w:w="70" w:type="dxa"/>
              <w:start w:w="60" w:type="dxa"/>
              <w:bottom w:w="70" w:type="dxa"/>
              <w:end w:w="60" w:type="dxa"/>
            </w:tcMar>
          </w:tcPr>
          <w:p>
            <w:r>
              <w:rPr>
                <w:rFonts w:ascii="Aptos" w:hAnsi="Aptos"/>
                <w:b/>
                <w:color w:val="FFFFFF"/>
                <w:sz w:val="15"/>
              </w:rPr>
              <w:t>Stream</w:t>
            </w:r>
          </w:p>
        </w:tc>
        <w:tc>
          <w:tcPr>
            <w:tcW w:type="dxa" w:w="3485"/>
            <w:shd w:fill="5F259F"/>
            <w:tcMar>
              <w:top w:w="70" w:type="dxa"/>
              <w:start w:w="60" w:type="dxa"/>
              <w:bottom w:w="70" w:type="dxa"/>
              <w:end w:w="60" w:type="dxa"/>
            </w:tcMar>
          </w:tcPr>
          <w:p>
            <w:r>
              <w:rPr>
                <w:rFonts w:ascii="Aptos" w:hAnsi="Aptos"/>
                <w:b/>
                <w:color w:val="FFFFFF"/>
                <w:sz w:val="15"/>
              </w:rPr>
              <w:t>FY25 ₹ Cr</w:t>
            </w:r>
          </w:p>
        </w:tc>
        <w:tc>
          <w:tcPr>
            <w:tcW w:type="dxa" w:w="3485"/>
            <w:shd w:fill="5F259F"/>
            <w:tcMar>
              <w:top w:w="70" w:type="dxa"/>
              <w:start w:w="60" w:type="dxa"/>
              <w:bottom w:w="70" w:type="dxa"/>
              <w:end w:w="60" w:type="dxa"/>
            </w:tcMar>
          </w:tcPr>
          <w:p>
            <w:r>
              <w:rPr>
                <w:rFonts w:ascii="Aptos" w:hAnsi="Aptos"/>
                <w:b/>
                <w:color w:val="FFFFFF"/>
                <w:sz w:val="15"/>
              </w:rPr>
              <w:t>Share %</w:t>
            </w:r>
          </w:p>
        </w:tc>
      </w:tr>
      <w:tr>
        <w:tc>
          <w:tcPr>
            <w:tcW w:type="dxa" w:w="3485"/>
            <w:tcMar>
              <w:top w:w="60" w:type="dxa"/>
              <w:start w:w="55" w:type="dxa"/>
              <w:bottom w:w="60" w:type="dxa"/>
              <w:end w:w="55" w:type="dxa"/>
            </w:tcMar>
          </w:tcPr>
          <w:p>
            <w:r>
              <w:rPr>
                <w:rFonts w:ascii="Aptos" w:hAnsi="Aptos"/>
                <w:b w:val="0"/>
                <w:color w:val="1A1033"/>
                <w:sz w:val="15"/>
              </w:rPr>
              <w:t>Consumer Payments</w:t>
            </w:r>
          </w:p>
        </w:tc>
        <w:tc>
          <w:tcPr>
            <w:tcW w:type="dxa" w:w="3485"/>
            <w:tcMar>
              <w:top w:w="60" w:type="dxa"/>
              <w:start w:w="55" w:type="dxa"/>
              <w:bottom w:w="60" w:type="dxa"/>
              <w:end w:w="55" w:type="dxa"/>
            </w:tcMar>
          </w:tcPr>
          <w:p>
            <w:r>
              <w:rPr>
                <w:rFonts w:ascii="Aptos" w:hAnsi="Aptos"/>
                <w:b w:val="0"/>
                <w:color w:val="1A1033"/>
                <w:sz w:val="15"/>
              </w:rPr>
              <w:t>4,506.9</w:t>
            </w:r>
          </w:p>
        </w:tc>
        <w:tc>
          <w:tcPr>
            <w:tcW w:type="dxa" w:w="3485"/>
            <w:tcMar>
              <w:top w:w="60" w:type="dxa"/>
              <w:start w:w="55" w:type="dxa"/>
              <w:bottom w:w="60" w:type="dxa"/>
              <w:end w:w="55" w:type="dxa"/>
            </w:tcMar>
          </w:tcPr>
          <w:p>
            <w:r>
              <w:rPr>
                <w:rFonts w:ascii="Aptos" w:hAnsi="Aptos"/>
                <w:b w:val="0"/>
                <w:color w:val="1A1033"/>
                <w:sz w:val="15"/>
              </w:rPr>
              <w:t>63.3%</w:t>
            </w:r>
          </w:p>
        </w:tc>
      </w:tr>
      <w:tr>
        <w:tc>
          <w:tcPr>
            <w:tcW w:type="dxa" w:w="3485"/>
            <w:tcMar>
              <w:top w:w="60" w:type="dxa"/>
              <w:start w:w="55" w:type="dxa"/>
              <w:bottom w:w="60" w:type="dxa"/>
              <w:end w:w="55" w:type="dxa"/>
            </w:tcMar>
            <w:shd w:fill="F8F5FB"/>
          </w:tcPr>
          <w:p>
            <w:r>
              <w:rPr>
                <w:rFonts w:ascii="Aptos" w:hAnsi="Aptos"/>
                <w:b w:val="0"/>
                <w:color w:val="1A1033"/>
                <w:sz w:val="15"/>
              </w:rPr>
              <w:t>Merchant Payments</w:t>
            </w:r>
          </w:p>
        </w:tc>
        <w:tc>
          <w:tcPr>
            <w:tcW w:type="dxa" w:w="3485"/>
            <w:tcMar>
              <w:top w:w="60" w:type="dxa"/>
              <w:start w:w="55" w:type="dxa"/>
              <w:bottom w:w="60" w:type="dxa"/>
              <w:end w:w="55" w:type="dxa"/>
            </w:tcMar>
            <w:shd w:fill="F8F5FB"/>
          </w:tcPr>
          <w:p>
            <w:r>
              <w:rPr>
                <w:rFonts w:ascii="Aptos" w:hAnsi="Aptos"/>
                <w:b w:val="0"/>
                <w:color w:val="1A1033"/>
                <w:sz w:val="15"/>
              </w:rPr>
              <w:t>1,792.8</w:t>
            </w:r>
          </w:p>
        </w:tc>
        <w:tc>
          <w:tcPr>
            <w:tcW w:type="dxa" w:w="3485"/>
            <w:tcMar>
              <w:top w:w="60" w:type="dxa"/>
              <w:start w:w="55" w:type="dxa"/>
              <w:bottom w:w="60" w:type="dxa"/>
              <w:end w:w="55" w:type="dxa"/>
            </w:tcMar>
            <w:shd w:fill="F8F5FB"/>
          </w:tcPr>
          <w:p>
            <w:r>
              <w:rPr>
                <w:rFonts w:ascii="Aptos" w:hAnsi="Aptos"/>
                <w:b w:val="0"/>
                <w:color w:val="1A1033"/>
                <w:sz w:val="15"/>
              </w:rPr>
              <w:t>25.2%</w:t>
            </w:r>
          </w:p>
        </w:tc>
      </w:tr>
      <w:tr>
        <w:tc>
          <w:tcPr>
            <w:tcW w:type="dxa" w:w="3485"/>
            <w:tcMar>
              <w:top w:w="60" w:type="dxa"/>
              <w:start w:w="55" w:type="dxa"/>
              <w:bottom w:w="60" w:type="dxa"/>
              <w:end w:w="55" w:type="dxa"/>
            </w:tcMar>
          </w:tcPr>
          <w:p>
            <w:r>
              <w:rPr>
                <w:rFonts w:ascii="Aptos" w:hAnsi="Aptos"/>
                <w:b w:val="0"/>
                <w:color w:val="1A1033"/>
                <w:sz w:val="15"/>
              </w:rPr>
              <w:t>Lending &amp; Insurance Distribution</w:t>
            </w:r>
          </w:p>
        </w:tc>
        <w:tc>
          <w:tcPr>
            <w:tcW w:type="dxa" w:w="3485"/>
            <w:tcMar>
              <w:top w:w="60" w:type="dxa"/>
              <w:start w:w="55" w:type="dxa"/>
              <w:bottom w:w="60" w:type="dxa"/>
              <w:end w:w="55" w:type="dxa"/>
            </w:tcMar>
          </w:tcPr>
          <w:p>
            <w:r>
              <w:rPr>
                <w:rFonts w:ascii="Aptos" w:hAnsi="Aptos"/>
                <w:b w:val="0"/>
                <w:color w:val="1A1033"/>
                <w:sz w:val="15"/>
              </w:rPr>
              <w:t>557.6</w:t>
            </w:r>
          </w:p>
        </w:tc>
        <w:tc>
          <w:tcPr>
            <w:tcW w:type="dxa" w:w="3485"/>
            <w:tcMar>
              <w:top w:w="60" w:type="dxa"/>
              <w:start w:w="55" w:type="dxa"/>
              <w:bottom w:w="60" w:type="dxa"/>
              <w:end w:w="55" w:type="dxa"/>
            </w:tcMar>
          </w:tcPr>
          <w:p>
            <w:r>
              <w:rPr>
                <w:rFonts w:ascii="Aptos" w:hAnsi="Aptos"/>
                <w:b w:val="0"/>
                <w:color w:val="1A1033"/>
                <w:sz w:val="15"/>
              </w:rPr>
              <w:t>7.8%</w:t>
            </w:r>
          </w:p>
        </w:tc>
      </w:tr>
      <w:tr>
        <w:tc>
          <w:tcPr>
            <w:tcW w:type="dxa" w:w="3485"/>
            <w:tcMar>
              <w:top w:w="60" w:type="dxa"/>
              <w:start w:w="55" w:type="dxa"/>
              <w:bottom w:w="60" w:type="dxa"/>
              <w:end w:w="55" w:type="dxa"/>
            </w:tcMar>
            <w:shd w:fill="F8F5FB"/>
          </w:tcPr>
          <w:p>
            <w:r>
              <w:rPr>
                <w:rFonts w:ascii="Aptos" w:hAnsi="Aptos"/>
                <w:b w:val="0"/>
                <w:color w:val="1A1033"/>
                <w:sz w:val="15"/>
              </w:rPr>
              <w:t>Other services</w:t>
            </w:r>
          </w:p>
        </w:tc>
        <w:tc>
          <w:tcPr>
            <w:tcW w:type="dxa" w:w="3485"/>
            <w:tcMar>
              <w:top w:w="60" w:type="dxa"/>
              <w:start w:w="55" w:type="dxa"/>
              <w:bottom w:w="60" w:type="dxa"/>
              <w:end w:w="55" w:type="dxa"/>
            </w:tcMar>
            <w:shd w:fill="F8F5FB"/>
          </w:tcPr>
          <w:p>
            <w:r>
              <w:rPr>
                <w:rFonts w:ascii="Aptos" w:hAnsi="Aptos"/>
                <w:b w:val="0"/>
                <w:color w:val="1A1033"/>
                <w:sz w:val="15"/>
              </w:rPr>
              <w:t>57.2</w:t>
            </w:r>
          </w:p>
        </w:tc>
        <w:tc>
          <w:tcPr>
            <w:tcW w:type="dxa" w:w="3485"/>
            <w:tcMar>
              <w:top w:w="60" w:type="dxa"/>
              <w:start w:w="55" w:type="dxa"/>
              <w:bottom w:w="60" w:type="dxa"/>
              <w:end w:w="55" w:type="dxa"/>
            </w:tcMar>
            <w:shd w:fill="F8F5FB"/>
          </w:tcPr>
          <w:p>
            <w:r>
              <w:rPr>
                <w:rFonts w:ascii="Aptos" w:hAnsi="Aptos"/>
                <w:b w:val="0"/>
                <w:color w:val="1A1033"/>
                <w:sz w:val="15"/>
              </w:rPr>
              <w:t>0.8%</w:t>
            </w:r>
          </w:p>
        </w:tc>
      </w:tr>
      <w:tr>
        <w:tc>
          <w:tcPr>
            <w:tcW w:type="dxa" w:w="3485"/>
            <w:tcMar>
              <w:top w:w="60" w:type="dxa"/>
              <w:start w:w="55" w:type="dxa"/>
              <w:bottom w:w="60" w:type="dxa"/>
              <w:end w:w="55" w:type="dxa"/>
            </w:tcMar>
          </w:tcPr>
          <w:p>
            <w:r>
              <w:rPr>
                <w:rFonts w:ascii="Aptos" w:hAnsi="Aptos"/>
                <w:b w:val="0"/>
                <w:color w:val="1A1033"/>
                <w:sz w:val="15"/>
              </w:rPr>
              <w:t>Other operating revenue</w:t>
            </w:r>
          </w:p>
        </w:tc>
        <w:tc>
          <w:tcPr>
            <w:tcW w:type="dxa" w:w="3485"/>
            <w:tcMar>
              <w:top w:w="60" w:type="dxa"/>
              <w:start w:w="55" w:type="dxa"/>
              <w:bottom w:w="60" w:type="dxa"/>
              <w:end w:w="55" w:type="dxa"/>
            </w:tcMar>
          </w:tcPr>
          <w:p>
            <w:r>
              <w:rPr>
                <w:rFonts w:ascii="Aptos" w:hAnsi="Aptos"/>
                <w:b w:val="0"/>
                <w:color w:val="1A1033"/>
                <w:sz w:val="15"/>
              </w:rPr>
              <w:t>200.2</w:t>
            </w:r>
          </w:p>
        </w:tc>
        <w:tc>
          <w:tcPr>
            <w:tcW w:type="dxa" w:w="3485"/>
            <w:tcMar>
              <w:top w:w="60" w:type="dxa"/>
              <w:start w:w="55" w:type="dxa"/>
              <w:bottom w:w="60" w:type="dxa"/>
              <w:end w:w="55" w:type="dxa"/>
            </w:tcMar>
          </w:tcPr>
          <w:p>
            <w:r>
              <w:rPr>
                <w:rFonts w:ascii="Aptos" w:hAnsi="Aptos"/>
                <w:b w:val="0"/>
                <w:color w:val="1A1033"/>
                <w:sz w:val="15"/>
              </w:rPr>
              <w:t>2.8%</w:t>
            </w:r>
          </w:p>
        </w:tc>
      </w:tr>
    </w:tbl>
    <w:p>
      <w:pPr>
        <w:spacing w:after="40"/>
      </w:pPr>
    </w:p>
    <w:tbl>
      <w:tblPr>
        <w:tblW w:type="auto" w:w="0"/>
        <w:tblLook w:firstColumn="1" w:firstRow="1" w:lastColumn="0" w:lastRow="0" w:noHBand="0" w:noVBand="1" w:val="04A0"/>
      </w:tblPr>
      <w:tblGrid>
        <w:gridCol w:w="10454"/>
      </w:tblGrid>
      <w:tr>
        <w:tc>
          <w:tcPr>
            <w:tcW w:type="dxa" w:w="10454"/>
            <w:shd w:fill="F5F0FA"/>
            <w:tcMar>
              <w:top w:w="130" w:type="dxa"/>
              <w:start w:w="150" w:type="dxa"/>
              <w:bottom w:w="130" w:type="dxa"/>
              <w:end w:w="150" w:type="dxa"/>
            </w:tcMar>
          </w:tcPr>
          <w:p>
            <w:r>
              <w:rPr>
                <w:rFonts w:ascii="Aptos" w:hAnsi="Aptos"/>
                <w:b/>
                <w:color w:val="5F259F"/>
                <w:sz w:val="19"/>
              </w:rPr>
              <w:t xml:space="preserve">MONETIZATION SIGNAL  </w:t>
            </w:r>
            <w:r>
              <w:rPr>
                <w:rFonts w:ascii="Aptos" w:hAnsi="Aptos"/>
                <w:b w:val="0"/>
                <w:color w:val="1A1033"/>
                <w:sz w:val="18"/>
              </w:rPr>
              <w:t>Lending &amp; Insurance Distribution revenue grew from ₹28.1 Cr in FY23 to ₹557.6 Cr in FY25; H1FY26 alone reached ₹452.6 Cr. Payment scale is increasingly a distribution surface for higher-monetization services.</w:t>
            </w:r>
          </w:p>
        </w:tc>
      </w:tr>
    </w:tbl>
    <w:p>
      <w:pPr>
        <w:spacing w:after="20"/>
      </w:pPr>
    </w:p>
    <w:p>
      <w:pPr>
        <w:spacing w:after="80" w:line="259" w:lineRule="auto"/>
      </w:pPr>
      <w:r>
        <w:rPr>
          <w:rFonts w:ascii="Aptos" w:hAnsi="Aptos"/>
          <w:b w:val="0"/>
          <w:color w:val="1A1033"/>
          <w:sz w:val="19"/>
        </w:rPr>
        <w:t>FY26 current filing context: revenue from operations ₹7,920.5 Cr (+11.5% YoY); reported net loss ₹2,791.6 Cr. Detailed stream analysis above uses UDRHP FY25 because it provides the cleanest public breakdown.</w:t>
      </w:r>
    </w:p>
    <w:p>
      <w:r>
        <w:br w:type="page"/>
      </w:r>
    </w:p>
    <w:p>
      <w:r>
        <w:rPr>
          <w:rFonts w:ascii="Aptos" w:hAnsi="Aptos"/>
          <w:b/>
          <w:color w:val="5F259F"/>
          <w:sz w:val="48"/>
        </w:rPr>
        <w:t>04  KPI Architecture</w:t>
      </w:r>
    </w:p>
    <w:p>
      <w:r>
        <w:rPr>
          <w:rFonts w:ascii="Aptos" w:hAnsi="Aptos"/>
          <w:b w:val="0"/>
          <w:color w:val="5F6470"/>
          <w:sz w:val="22"/>
        </w:rPr>
        <w:t>Do not optimize “users” or “transactions” as isolated vanity metrics.</w:t>
      </w:r>
    </w:p>
    <w:tbl>
      <w:tblPr>
        <w:tblW w:type="auto" w:w="0"/>
        <w:tblLook w:firstColumn="1" w:firstRow="1" w:lastColumn="0" w:lastRow="0" w:noHBand="0" w:noVBand="1" w:val="04A0"/>
      </w:tblPr>
      <w:tblGrid>
        <w:gridCol w:w="10454"/>
      </w:tblGrid>
      <w:tr>
        <w:tc>
          <w:tcPr>
            <w:tcW w:type="dxa" w:w="10454"/>
            <w:shd w:fill="F5F0FA"/>
            <w:tcMar>
              <w:top w:w="130" w:type="dxa"/>
              <w:start w:w="150" w:type="dxa"/>
              <w:bottom w:w="130" w:type="dxa"/>
              <w:end w:w="150" w:type="dxa"/>
            </w:tcMar>
          </w:tcPr>
          <w:p>
            <w:r>
              <w:rPr>
                <w:rFonts w:ascii="Aptos" w:hAnsi="Aptos"/>
                <w:b/>
                <w:color w:val="5F259F"/>
                <w:sz w:val="19"/>
              </w:rPr>
              <w:t xml:space="preserve">CONSUMER NORTH STAR  </w:t>
            </w:r>
            <w:r>
              <w:rPr>
                <w:rFonts w:ascii="Aptos" w:hAnsi="Aptos"/>
                <w:b w:val="0"/>
                <w:color w:val="1A1033"/>
                <w:sz w:val="18"/>
              </w:rPr>
              <w:t>Habitual Monthly Active Customers: MAC crossing the &gt;30 transactions/month threshold used in PhonePe's filing.</w:t>
            </w:r>
          </w:p>
        </w:tc>
      </w:tr>
    </w:tbl>
    <w:p>
      <w:pPr>
        <w:spacing w:after="20"/>
      </w:pPr>
    </w:p>
    <w:tbl>
      <w:tblPr>
        <w:tblW w:type="auto" w:w="0"/>
        <w:tblLook w:firstColumn="1" w:firstRow="1" w:lastColumn="0" w:lastRow="0" w:noHBand="0" w:noVBand="1" w:val="04A0"/>
      </w:tblPr>
      <w:tblGrid>
        <w:gridCol w:w="10454"/>
      </w:tblGrid>
      <w:tr>
        <w:tc>
          <w:tcPr>
            <w:tcW w:type="dxa" w:w="10454"/>
            <w:shd w:fill="F5F0FA"/>
            <w:tcMar>
              <w:top w:w="130" w:type="dxa"/>
              <w:start w:w="150" w:type="dxa"/>
              <w:bottom w:w="130" w:type="dxa"/>
              <w:end w:w="150" w:type="dxa"/>
            </w:tcMar>
          </w:tcPr>
          <w:p>
            <w:r>
              <w:rPr>
                <w:rFonts w:ascii="Aptos" w:hAnsi="Aptos"/>
                <w:b/>
                <w:color w:val="5F259F"/>
                <w:sz w:val="19"/>
              </w:rPr>
              <w:t xml:space="preserve">MERCHANT NORTH STAR  </w:t>
            </w:r>
            <w:r>
              <w:rPr>
                <w:rFonts w:ascii="Aptos" w:hAnsi="Aptos"/>
                <w:b w:val="0"/>
                <w:color w:val="1A1033"/>
                <w:sz w:val="18"/>
              </w:rPr>
              <w:t>Retained Monthly Active Merchants: transacting merchants retained across a defined cohort window, paired with TPAM to capture depth.</w:t>
            </w:r>
          </w:p>
        </w:tc>
      </w:tr>
    </w:tbl>
    <w:p>
      <w:pPr>
        <w:spacing w:after="20"/>
      </w:pP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5F259F"/>
            <w:tcMar>
              <w:top w:w="70" w:type="dxa"/>
              <w:start w:w="60" w:type="dxa"/>
              <w:bottom w:w="70" w:type="dxa"/>
              <w:end w:w="60" w:type="dxa"/>
            </w:tcMar>
          </w:tcPr>
          <w:p>
            <w:r>
              <w:rPr>
                <w:rFonts w:ascii="Aptos" w:hAnsi="Aptos"/>
                <w:b/>
                <w:color w:val="FFFFFF"/>
                <w:sz w:val="15"/>
              </w:rPr>
              <w:t>Layer</w:t>
            </w:r>
          </w:p>
        </w:tc>
        <w:tc>
          <w:tcPr>
            <w:tcW w:type="dxa" w:w="3485"/>
            <w:shd w:fill="5F259F"/>
            <w:tcMar>
              <w:top w:w="70" w:type="dxa"/>
              <w:start w:w="60" w:type="dxa"/>
              <w:bottom w:w="70" w:type="dxa"/>
              <w:end w:w="60" w:type="dxa"/>
            </w:tcMar>
          </w:tcPr>
          <w:p>
            <w:r>
              <w:rPr>
                <w:rFonts w:ascii="Aptos" w:hAnsi="Aptos"/>
                <w:b/>
                <w:color w:val="FFFFFF"/>
                <w:sz w:val="15"/>
              </w:rPr>
              <w:t>Metrics</w:t>
            </w:r>
          </w:p>
        </w:tc>
        <w:tc>
          <w:tcPr>
            <w:tcW w:type="dxa" w:w="3485"/>
            <w:shd w:fill="5F259F"/>
            <w:tcMar>
              <w:top w:w="70" w:type="dxa"/>
              <w:start w:w="60" w:type="dxa"/>
              <w:bottom w:w="70" w:type="dxa"/>
              <w:end w:w="60" w:type="dxa"/>
            </w:tcMar>
          </w:tcPr>
          <w:p>
            <w:r>
              <w:rPr>
                <w:rFonts w:ascii="Aptos" w:hAnsi="Aptos"/>
                <w:b/>
                <w:color w:val="FFFFFF"/>
                <w:sz w:val="15"/>
              </w:rPr>
              <w:t>Decision question</w:t>
            </w:r>
          </w:p>
        </w:tc>
      </w:tr>
      <w:tr>
        <w:tc>
          <w:tcPr>
            <w:tcW w:type="dxa" w:w="3485"/>
            <w:tcMar>
              <w:top w:w="60" w:type="dxa"/>
              <w:start w:w="55" w:type="dxa"/>
              <w:bottom w:w="60" w:type="dxa"/>
              <w:end w:w="55" w:type="dxa"/>
            </w:tcMar>
          </w:tcPr>
          <w:p>
            <w:r>
              <w:rPr>
                <w:rFonts w:ascii="Aptos" w:hAnsi="Aptos"/>
                <w:b w:val="0"/>
                <w:color w:val="1A1033"/>
                <w:sz w:val="15"/>
              </w:rPr>
              <w:t>Acquisition</w:t>
            </w:r>
          </w:p>
        </w:tc>
        <w:tc>
          <w:tcPr>
            <w:tcW w:type="dxa" w:w="3485"/>
            <w:tcMar>
              <w:top w:w="60" w:type="dxa"/>
              <w:start w:w="55" w:type="dxa"/>
              <w:bottom w:w="60" w:type="dxa"/>
              <w:end w:w="55" w:type="dxa"/>
            </w:tcMar>
          </w:tcPr>
          <w:p>
            <w:r>
              <w:rPr>
                <w:rFonts w:ascii="Aptos" w:hAnsi="Aptos"/>
                <w:b w:val="0"/>
                <w:color w:val="1A1033"/>
                <w:sz w:val="15"/>
              </w:rPr>
              <w:t>LTD registrations, new merchant onboardings</w:t>
            </w:r>
          </w:p>
        </w:tc>
        <w:tc>
          <w:tcPr>
            <w:tcW w:type="dxa" w:w="3485"/>
            <w:tcMar>
              <w:top w:w="60" w:type="dxa"/>
              <w:start w:w="55" w:type="dxa"/>
              <w:bottom w:w="60" w:type="dxa"/>
              <w:end w:w="55" w:type="dxa"/>
            </w:tcMar>
          </w:tcPr>
          <w:p>
            <w:r>
              <w:rPr>
                <w:rFonts w:ascii="Aptos" w:hAnsi="Aptos"/>
                <w:b w:val="0"/>
                <w:color w:val="1A1033"/>
                <w:sz w:val="15"/>
              </w:rPr>
              <w:t>Reach, not quality</w:t>
            </w:r>
          </w:p>
        </w:tc>
      </w:tr>
      <w:tr>
        <w:tc>
          <w:tcPr>
            <w:tcW w:type="dxa" w:w="3485"/>
            <w:tcMar>
              <w:top w:w="60" w:type="dxa"/>
              <w:start w:w="55" w:type="dxa"/>
              <w:bottom w:w="60" w:type="dxa"/>
              <w:end w:w="55" w:type="dxa"/>
            </w:tcMar>
            <w:shd w:fill="F8F5FB"/>
          </w:tcPr>
          <w:p>
            <w:r>
              <w:rPr>
                <w:rFonts w:ascii="Aptos" w:hAnsi="Aptos"/>
                <w:b w:val="0"/>
                <w:color w:val="1A1033"/>
                <w:sz w:val="15"/>
              </w:rPr>
              <w:t>Activation</w:t>
            </w:r>
          </w:p>
        </w:tc>
        <w:tc>
          <w:tcPr>
            <w:tcW w:type="dxa" w:w="3485"/>
            <w:tcMar>
              <w:top w:w="60" w:type="dxa"/>
              <w:start w:w="55" w:type="dxa"/>
              <w:bottom w:w="60" w:type="dxa"/>
              <w:end w:w="55" w:type="dxa"/>
            </w:tcMar>
            <w:shd w:fill="F8F5FB"/>
          </w:tcPr>
          <w:p>
            <w:r>
              <w:rPr>
                <w:rFonts w:ascii="Aptos" w:hAnsi="Aptos"/>
                <w:b w:val="0"/>
                <w:color w:val="1A1033"/>
                <w:sz w:val="15"/>
              </w:rPr>
              <w:t>first successful payment, D7 active</w:t>
            </w:r>
          </w:p>
        </w:tc>
        <w:tc>
          <w:tcPr>
            <w:tcW w:type="dxa" w:w="3485"/>
            <w:tcMar>
              <w:top w:w="60" w:type="dxa"/>
              <w:start w:w="55" w:type="dxa"/>
              <w:bottom w:w="60" w:type="dxa"/>
              <w:end w:w="55" w:type="dxa"/>
            </w:tcMar>
            <w:shd w:fill="F8F5FB"/>
          </w:tcPr>
          <w:p>
            <w:r>
              <w:rPr>
                <w:rFonts w:ascii="Aptos" w:hAnsi="Aptos"/>
                <w:b w:val="0"/>
                <w:color w:val="1A1033"/>
                <w:sz w:val="15"/>
              </w:rPr>
              <w:t>Does the relationship become real?</w:t>
            </w:r>
          </w:p>
        </w:tc>
      </w:tr>
      <w:tr>
        <w:tc>
          <w:tcPr>
            <w:tcW w:type="dxa" w:w="3485"/>
            <w:tcMar>
              <w:top w:w="60" w:type="dxa"/>
              <w:start w:w="55" w:type="dxa"/>
              <w:bottom w:w="60" w:type="dxa"/>
              <w:end w:w="55" w:type="dxa"/>
            </w:tcMar>
          </w:tcPr>
          <w:p>
            <w:r>
              <w:rPr>
                <w:rFonts w:ascii="Aptos" w:hAnsi="Aptos"/>
                <w:b w:val="0"/>
                <w:color w:val="1A1033"/>
                <w:sz w:val="15"/>
              </w:rPr>
              <w:t>Retention</w:t>
            </w:r>
          </w:p>
        </w:tc>
        <w:tc>
          <w:tcPr>
            <w:tcW w:type="dxa" w:w="3485"/>
            <w:tcMar>
              <w:top w:w="60" w:type="dxa"/>
              <w:start w:w="55" w:type="dxa"/>
              <w:bottom w:w="60" w:type="dxa"/>
              <w:end w:w="55" w:type="dxa"/>
            </w:tcMar>
          </w:tcPr>
          <w:p>
            <w:r>
              <w:rPr>
                <w:rFonts w:ascii="Aptos" w:hAnsi="Aptos"/>
                <w:b w:val="0"/>
                <w:color w:val="1A1033"/>
                <w:sz w:val="15"/>
              </w:rPr>
              <w:t>M1/M3/M6 active cohort</w:t>
            </w:r>
          </w:p>
        </w:tc>
        <w:tc>
          <w:tcPr>
            <w:tcW w:type="dxa" w:w="3485"/>
            <w:tcMar>
              <w:top w:w="60" w:type="dxa"/>
              <w:start w:w="55" w:type="dxa"/>
              <w:bottom w:w="60" w:type="dxa"/>
              <w:end w:w="55" w:type="dxa"/>
            </w:tcMar>
          </w:tcPr>
          <w:p>
            <w:r>
              <w:rPr>
                <w:rFonts w:ascii="Aptos" w:hAnsi="Aptos"/>
                <w:b w:val="0"/>
                <w:color w:val="1A1033"/>
                <w:sz w:val="15"/>
              </w:rPr>
              <w:t>Does usage persist?</w:t>
            </w:r>
          </w:p>
        </w:tc>
      </w:tr>
      <w:tr>
        <w:tc>
          <w:tcPr>
            <w:tcW w:type="dxa" w:w="3485"/>
            <w:tcMar>
              <w:top w:w="60" w:type="dxa"/>
              <w:start w:w="55" w:type="dxa"/>
              <w:bottom w:w="60" w:type="dxa"/>
              <w:end w:w="55" w:type="dxa"/>
            </w:tcMar>
            <w:shd w:fill="F8F5FB"/>
          </w:tcPr>
          <w:p>
            <w:r>
              <w:rPr>
                <w:rFonts w:ascii="Aptos" w:hAnsi="Aptos"/>
                <w:b w:val="0"/>
                <w:color w:val="1A1033"/>
                <w:sz w:val="15"/>
              </w:rPr>
              <w:t>Depth</w:t>
            </w:r>
          </w:p>
        </w:tc>
        <w:tc>
          <w:tcPr>
            <w:tcW w:type="dxa" w:w="3485"/>
            <w:tcMar>
              <w:top w:w="60" w:type="dxa"/>
              <w:start w:w="55" w:type="dxa"/>
              <w:bottom w:w="60" w:type="dxa"/>
              <w:end w:w="55" w:type="dxa"/>
            </w:tcMar>
            <w:shd w:fill="F8F5FB"/>
          </w:tcPr>
          <w:p>
            <w:r>
              <w:rPr>
                <w:rFonts w:ascii="Aptos" w:hAnsi="Aptos"/>
                <w:b w:val="0"/>
                <w:color w:val="1A1033"/>
                <w:sz w:val="15"/>
              </w:rPr>
              <w:t>TPC, TPAM, DAM/MAM, use-case breadth</w:t>
            </w:r>
          </w:p>
        </w:tc>
        <w:tc>
          <w:tcPr>
            <w:tcW w:type="dxa" w:w="3485"/>
            <w:tcMar>
              <w:top w:w="60" w:type="dxa"/>
              <w:start w:w="55" w:type="dxa"/>
              <w:bottom w:w="60" w:type="dxa"/>
              <w:end w:w="55" w:type="dxa"/>
            </w:tcMar>
            <w:shd w:fill="F8F5FB"/>
          </w:tcPr>
          <w:p>
            <w:r>
              <w:rPr>
                <w:rFonts w:ascii="Aptos" w:hAnsi="Aptos"/>
                <w:b w:val="0"/>
                <w:color w:val="1A1033"/>
                <w:sz w:val="15"/>
              </w:rPr>
              <w:t>How habitual is the relationship?</w:t>
            </w:r>
          </w:p>
        </w:tc>
      </w:tr>
      <w:tr>
        <w:tc>
          <w:tcPr>
            <w:tcW w:type="dxa" w:w="3485"/>
            <w:tcMar>
              <w:top w:w="60" w:type="dxa"/>
              <w:start w:w="55" w:type="dxa"/>
              <w:bottom w:w="60" w:type="dxa"/>
              <w:end w:w="55" w:type="dxa"/>
            </w:tcMar>
          </w:tcPr>
          <w:p>
            <w:r>
              <w:rPr>
                <w:rFonts w:ascii="Aptos" w:hAnsi="Aptos"/>
                <w:b w:val="0"/>
                <w:color w:val="1A1033"/>
                <w:sz w:val="15"/>
              </w:rPr>
              <w:t>Monetization</w:t>
            </w:r>
          </w:p>
        </w:tc>
        <w:tc>
          <w:tcPr>
            <w:tcW w:type="dxa" w:w="3485"/>
            <w:tcMar>
              <w:top w:w="60" w:type="dxa"/>
              <w:start w:w="55" w:type="dxa"/>
              <w:bottom w:w="60" w:type="dxa"/>
              <w:end w:w="55" w:type="dxa"/>
            </w:tcMar>
          </w:tcPr>
          <w:p>
            <w:r>
              <w:rPr>
                <w:rFonts w:ascii="Aptos" w:hAnsi="Aptos"/>
                <w:b w:val="0"/>
                <w:color w:val="1A1033"/>
                <w:sz w:val="15"/>
              </w:rPr>
              <w:t>revenue/active relationship, devices, financial services</w:t>
            </w:r>
          </w:p>
        </w:tc>
        <w:tc>
          <w:tcPr>
            <w:tcW w:type="dxa" w:w="3485"/>
            <w:tcMar>
              <w:top w:w="60" w:type="dxa"/>
              <w:start w:w="55" w:type="dxa"/>
              <w:bottom w:w="60" w:type="dxa"/>
              <w:end w:w="55" w:type="dxa"/>
            </w:tcMar>
          </w:tcPr>
          <w:p>
            <w:r>
              <w:rPr>
                <w:rFonts w:ascii="Aptos" w:hAnsi="Aptos"/>
                <w:b w:val="0"/>
                <w:color w:val="1A1033"/>
                <w:sz w:val="15"/>
              </w:rPr>
              <w:t>Does activity create durable economics?</w:t>
            </w:r>
          </w:p>
        </w:tc>
      </w:tr>
      <w:tr>
        <w:tc>
          <w:tcPr>
            <w:tcW w:type="dxa" w:w="3485"/>
            <w:tcMar>
              <w:top w:w="60" w:type="dxa"/>
              <w:start w:w="55" w:type="dxa"/>
              <w:bottom w:w="60" w:type="dxa"/>
              <w:end w:w="55" w:type="dxa"/>
            </w:tcMar>
            <w:shd w:fill="F8F5FB"/>
          </w:tcPr>
          <w:p>
            <w:r>
              <w:rPr>
                <w:rFonts w:ascii="Aptos" w:hAnsi="Aptos"/>
                <w:b w:val="0"/>
                <w:color w:val="1A1033"/>
                <w:sz w:val="15"/>
              </w:rPr>
              <w:t>Trust</w:t>
            </w:r>
          </w:p>
        </w:tc>
        <w:tc>
          <w:tcPr>
            <w:tcW w:type="dxa" w:w="3485"/>
            <w:tcMar>
              <w:top w:w="60" w:type="dxa"/>
              <w:start w:w="55" w:type="dxa"/>
              <w:bottom w:w="60" w:type="dxa"/>
              <w:end w:w="55" w:type="dxa"/>
            </w:tcMar>
            <w:shd w:fill="F8F5FB"/>
          </w:tcPr>
          <w:p>
            <w:r>
              <w:rPr>
                <w:rFonts w:ascii="Aptos" w:hAnsi="Aptos"/>
                <w:b w:val="0"/>
                <w:color w:val="1A1033"/>
                <w:sz w:val="15"/>
              </w:rPr>
              <w:t>success rate, fraud, disputes, support</w:t>
            </w:r>
          </w:p>
        </w:tc>
        <w:tc>
          <w:tcPr>
            <w:tcW w:type="dxa" w:w="3485"/>
            <w:tcMar>
              <w:top w:w="60" w:type="dxa"/>
              <w:start w:w="55" w:type="dxa"/>
              <w:bottom w:w="60" w:type="dxa"/>
              <w:end w:w="55" w:type="dxa"/>
            </w:tcMar>
            <w:shd w:fill="F8F5FB"/>
          </w:tcPr>
          <w:p>
            <w:r>
              <w:rPr>
                <w:rFonts w:ascii="Aptos" w:hAnsi="Aptos"/>
                <w:b w:val="0"/>
                <w:color w:val="1A1033"/>
                <w:sz w:val="15"/>
              </w:rPr>
              <w:t>Can growth scale safely?</w:t>
            </w:r>
          </w:p>
        </w:tc>
      </w:tr>
    </w:tbl>
    <w:p>
      <w:pPr>
        <w:spacing w:after="40"/>
      </w:pPr>
    </w:p>
    <w:p>
      <w:pPr>
        <w:spacing w:after="80" w:line="259" w:lineRule="auto"/>
      </w:pPr>
      <w:r>
        <w:rPr>
          <w:rFonts w:ascii="Aptos" w:hAnsi="Aptos"/>
          <w:b w:val="0"/>
          <w:color w:val="1A1033"/>
          <w:sz w:val="19"/>
        </w:rPr>
        <w:t>Interview principle: if a feature raises transaction count but worsens success rate, fraud, support cost or retention, it is not automatically a product win.</w:t>
      </w:r>
    </w:p>
    <w:p>
      <w:r>
        <w:br w:type="page"/>
      </w:r>
    </w:p>
    <w:p>
      <w:r>
        <w:rPr>
          <w:rFonts w:ascii="Aptos" w:hAnsi="Aptos"/>
          <w:b/>
          <w:color w:val="5F259F"/>
          <w:sz w:val="48"/>
        </w:rPr>
        <w:t>05  Consumer Habit Diagnosis</w:t>
      </w:r>
    </w:p>
    <w:p>
      <w:r>
        <w:rPr>
          <w:rFonts w:ascii="Aptos" w:hAnsi="Aptos"/>
          <w:b w:val="0"/>
          <w:color w:val="5F6470"/>
          <w:sz w:val="22"/>
        </w:rPr>
        <w:t>Active customers are transacting more frequently over time.</w:t>
      </w:r>
    </w:p>
    <w:p>
      <w:pPr>
        <w:jc w:val="center"/>
      </w:pPr>
      <w:r>
        <w:drawing>
          <wp:inline xmlns:a="http://schemas.openxmlformats.org/drawingml/2006/main" xmlns:pic="http://schemas.openxmlformats.org/drawingml/2006/picture">
            <wp:extent cx="5943600" cy="3358874"/>
            <wp:docPr id="3" name="Picture 3"/>
            <wp:cNvGraphicFramePr>
              <a:graphicFrameLocks noChangeAspect="1"/>
            </wp:cNvGraphicFramePr>
            <a:graphic>
              <a:graphicData uri="http://schemas.openxmlformats.org/drawingml/2006/picture">
                <pic:pic>
                  <pic:nvPicPr>
                    <pic:cNvPr id="0" name="customer_tpc.png"/>
                    <pic:cNvPicPr/>
                  </pic:nvPicPr>
                  <pic:blipFill>
                    <a:blip r:embed="rId12"/>
                    <a:stretch>
                      <a:fillRect/>
                    </a:stretch>
                  </pic:blipFill>
                  <pic:spPr>
                    <a:xfrm>
                      <a:off x="0" y="0"/>
                      <a:ext cx="5943600" cy="3358874"/>
                    </a:xfrm>
                    <a:prstGeom prst="rect"/>
                  </pic:spPr>
                </pic:pic>
              </a:graphicData>
            </a:graphic>
          </wp:inline>
        </w:drawing>
      </w:r>
    </w:p>
    <w:p>
      <w:pPr>
        <w:jc w:val="center"/>
      </w:pPr>
      <w:r>
        <w:rPr>
          <w:rFonts w:ascii="Aptos" w:hAnsi="Aptos"/>
          <w:b w:val="0"/>
          <w:color w:val="5F6470"/>
          <w:sz w:val="14"/>
        </w:rPr>
        <w:t>REPORTED: PhonePe UDRHP. TPC = monthly transactions / monthly active customer.</w:t>
      </w:r>
    </w:p>
    <w:tbl>
      <w:tblPr>
        <w:tblW w:type="auto" w:w="0"/>
        <w:jc w:val="center"/>
        <w:tblLayout w:type="autofit"/>
        <w:tblLook w:firstColumn="1" w:firstRow="1" w:lastColumn="0" w:lastRow="0" w:noHBand="0" w:noVBand="1" w:val="04A0"/>
      </w:tblPr>
      <w:tblGrid>
        <w:gridCol w:w="2613"/>
        <w:gridCol w:w="2613"/>
        <w:gridCol w:w="2613"/>
        <w:gridCol w:w="2613"/>
      </w:tblGrid>
      <w:tr>
        <w:tc>
          <w:tcPr>
            <w:tcW w:type="dxa" w:w="2613"/>
            <w:shd w:fill="F5F0FA"/>
            <w:tcMar>
              <w:top w:w="100" w:type="dxa"/>
              <w:start w:w="80" w:type="dxa"/>
              <w:bottom w:w="100" w:type="dxa"/>
              <w:end w:w="80" w:type="dxa"/>
            </w:tcMar>
            <w:vAlign w:val="center"/>
          </w:tcPr>
          <w:p>
            <w:pPr>
              <w:jc w:val="center"/>
            </w:pPr>
            <w:r>
              <w:rPr>
                <w:rFonts w:ascii="Aptos" w:hAnsi="Aptos"/>
                <w:b/>
                <w:color w:val="5F259F"/>
                <w:sz w:val="36"/>
              </w:rPr>
              <w:t>25.50</w:t>
            </w:r>
          </w:p>
          <w:p>
            <w:pPr>
              <w:jc w:val="center"/>
            </w:pPr>
            <w:r>
              <w:rPr>
                <w:rFonts w:ascii="Aptos" w:hAnsi="Aptos"/>
                <w:b w:val="0"/>
                <w:color w:val="5F6470"/>
                <w:sz w:val="15"/>
              </w:rPr>
              <w:t>TPC Mar-23</w:t>
            </w:r>
          </w:p>
        </w:tc>
        <w:tc>
          <w:tcPr>
            <w:tcW w:type="dxa" w:w="2613"/>
            <w:shd w:fill="F5F0FA"/>
            <w:tcMar>
              <w:top w:w="100" w:type="dxa"/>
              <w:start w:w="80" w:type="dxa"/>
              <w:bottom w:w="100" w:type="dxa"/>
              <w:end w:w="80" w:type="dxa"/>
            </w:tcMar>
            <w:vAlign w:val="center"/>
          </w:tcPr>
          <w:p>
            <w:pPr>
              <w:jc w:val="center"/>
            </w:pPr>
            <w:r>
              <w:rPr>
                <w:rFonts w:ascii="Aptos" w:hAnsi="Aptos"/>
                <w:b/>
                <w:color w:val="5F259F"/>
                <w:sz w:val="36"/>
              </w:rPr>
              <w:t>38.10</w:t>
            </w:r>
          </w:p>
          <w:p>
            <w:pPr>
              <w:jc w:val="center"/>
            </w:pPr>
            <w:r>
              <w:rPr>
                <w:rFonts w:ascii="Aptos" w:hAnsi="Aptos"/>
                <w:b w:val="0"/>
                <w:color w:val="5F6470"/>
                <w:sz w:val="15"/>
              </w:rPr>
              <w:t>TPC Mar-25</w:t>
            </w:r>
          </w:p>
        </w:tc>
        <w:tc>
          <w:tcPr>
            <w:tcW w:type="dxa" w:w="2613"/>
            <w:shd w:fill="F5F0FA"/>
            <w:tcMar>
              <w:top w:w="100" w:type="dxa"/>
              <w:start w:w="80" w:type="dxa"/>
              <w:bottom w:w="100" w:type="dxa"/>
              <w:end w:w="80" w:type="dxa"/>
            </w:tcMar>
            <w:vAlign w:val="center"/>
          </w:tcPr>
          <w:p>
            <w:pPr>
              <w:jc w:val="center"/>
            </w:pPr>
            <w:r>
              <w:rPr>
                <w:rFonts w:ascii="Aptos" w:hAnsi="Aptos"/>
                <w:b/>
                <w:color w:val="5F259F"/>
                <w:sz w:val="36"/>
              </w:rPr>
              <w:t>28.41%</w:t>
            </w:r>
          </w:p>
          <w:p>
            <w:pPr>
              <w:jc w:val="center"/>
            </w:pPr>
            <w:r>
              <w:rPr>
                <w:rFonts w:ascii="Aptos" w:hAnsi="Aptos"/>
                <w:b w:val="0"/>
                <w:color w:val="5F6470"/>
                <w:sz w:val="15"/>
              </w:rPr>
              <w:t>Habitual / MAC Mar-23</w:t>
            </w:r>
          </w:p>
        </w:tc>
        <w:tc>
          <w:tcPr>
            <w:tcW w:type="dxa" w:w="2613"/>
            <w:shd w:fill="F5F0FA"/>
            <w:tcMar>
              <w:top w:w="100" w:type="dxa"/>
              <w:start w:w="80" w:type="dxa"/>
              <w:bottom w:w="100" w:type="dxa"/>
              <w:end w:w="80" w:type="dxa"/>
            </w:tcMar>
            <w:vAlign w:val="center"/>
          </w:tcPr>
          <w:p>
            <w:pPr>
              <w:jc w:val="center"/>
            </w:pPr>
            <w:r>
              <w:rPr>
                <w:rFonts w:ascii="Aptos" w:hAnsi="Aptos"/>
                <w:b/>
                <w:color w:val="5F259F"/>
                <w:sz w:val="36"/>
              </w:rPr>
              <w:t>41.43%</w:t>
            </w:r>
          </w:p>
          <w:p>
            <w:pPr>
              <w:jc w:val="center"/>
            </w:pPr>
            <w:r>
              <w:rPr>
                <w:rFonts w:ascii="Aptos" w:hAnsi="Aptos"/>
                <w:b w:val="0"/>
                <w:color w:val="5F6470"/>
                <w:sz w:val="15"/>
              </w:rPr>
              <w:t>Habitual / MAC Mar-25</w:t>
            </w:r>
          </w:p>
        </w:tc>
      </w:tr>
    </w:tbl>
    <w:p>
      <w:pPr>
        <w:spacing w:after="20"/>
      </w:pPr>
    </w:p>
    <w:p>
      <w:pPr>
        <w:spacing w:after="80" w:line="259" w:lineRule="auto"/>
      </w:pPr>
      <w:r>
        <w:rPr>
          <w:rFonts w:ascii="Aptos" w:hAnsi="Aptos"/>
          <w:b w:val="0"/>
          <w:color w:val="1A1033"/>
          <w:sz w:val="19"/>
        </w:rPr>
        <w:t>The filing states that transaction frequency increases as customer cohorts age and newer cohorts ramp faster in their first 12 months. This suggests product breadth and familiarity create habit, not merely acquisition volume.</w:t>
      </w:r>
    </w:p>
    <w:p>
      <w:pPr>
        <w:pStyle w:val="Heading2"/>
        <w:spacing w:before="120" w:after="80"/>
      </w:pPr>
      <w:r>
        <w:rPr>
          <w:rFonts w:ascii="Aptos" w:hAnsi="Aptos"/>
          <w:b/>
          <w:color w:val="1A1033"/>
          <w:sz w:val="24"/>
        </w:rPr>
        <w:t>Product implication</w:t>
      </w:r>
    </w:p>
    <w:p>
      <w:pPr>
        <w:pStyle w:val="ListBullet"/>
        <w:spacing w:after="40"/>
        <w:ind w:left="259"/>
      </w:pPr>
      <w:r>
        <w:rPr>
          <w:rFonts w:ascii="Aptos" w:hAnsi="Aptos"/>
          <w:b w:val="0"/>
          <w:color w:val="1A1033"/>
          <w:sz w:val="18"/>
        </w:rPr>
        <w:t>Segment by current monthly frequency and dominant use case.</w:t>
      </w:r>
    </w:p>
    <w:p>
      <w:pPr>
        <w:pStyle w:val="ListBullet"/>
        <w:spacing w:after="40"/>
        <w:ind w:left="259"/>
      </w:pPr>
      <w:r>
        <w:rPr>
          <w:rFonts w:ascii="Aptos" w:hAnsi="Aptos"/>
          <w:b w:val="0"/>
          <w:color w:val="1A1033"/>
          <w:sz w:val="18"/>
        </w:rPr>
        <w:t>For developing users, recommend one next recurring payment habit rather than the entire PhonePe surface.</w:t>
      </w:r>
    </w:p>
    <w:p>
      <w:pPr>
        <w:pStyle w:val="ListBullet"/>
        <w:spacing w:after="40"/>
        <w:ind w:left="259"/>
      </w:pPr>
      <w:r>
        <w:rPr>
          <w:rFonts w:ascii="Aptos" w:hAnsi="Aptos"/>
          <w:b w:val="0"/>
          <w:color w:val="1A1033"/>
          <w:sz w:val="18"/>
        </w:rPr>
        <w:t>For habitual users, prioritize reliability, security and relevant financial-service discovery over generic payment nudges.</w:t>
      </w:r>
    </w:p>
    <w:p>
      <w:r>
        <w:br w:type="page"/>
      </w:r>
    </w:p>
    <w:p>
      <w:r>
        <w:rPr>
          <w:rFonts w:ascii="Aptos" w:hAnsi="Aptos"/>
          <w:b/>
          <w:color w:val="5F259F"/>
          <w:sz w:val="48"/>
        </w:rPr>
        <w:t>06  Merchant Engagement Diagnosis</w:t>
      </w:r>
    </w:p>
    <w:p>
      <w:r>
        <w:rPr>
          <w:rFonts w:ascii="Aptos" w:hAnsi="Aptos"/>
          <w:b w:val="0"/>
          <w:color w:val="5F6470"/>
          <w:sz w:val="22"/>
        </w:rPr>
        <w:t>The merchant network is becoming more daily and more transaction-dense.</w:t>
      </w:r>
    </w:p>
    <w:p>
      <w:pPr>
        <w:jc w:val="center"/>
      </w:pPr>
      <w:r>
        <w:drawing>
          <wp:inline xmlns:a="http://schemas.openxmlformats.org/drawingml/2006/main" xmlns:pic="http://schemas.openxmlformats.org/drawingml/2006/picture">
            <wp:extent cx="5349240" cy="3022987"/>
            <wp:docPr id="4" name="Picture 4"/>
            <wp:cNvGraphicFramePr>
              <a:graphicFrameLocks noChangeAspect="1"/>
            </wp:cNvGraphicFramePr>
            <a:graphic>
              <a:graphicData uri="http://schemas.openxmlformats.org/drawingml/2006/picture">
                <pic:pic>
                  <pic:nvPicPr>
                    <pic:cNvPr id="0" name="merchant_tpam.png"/>
                    <pic:cNvPicPr/>
                  </pic:nvPicPr>
                  <pic:blipFill>
                    <a:blip r:embed="rId13"/>
                    <a:stretch>
                      <a:fillRect/>
                    </a:stretch>
                  </pic:blipFill>
                  <pic:spPr>
                    <a:xfrm>
                      <a:off x="0" y="0"/>
                      <a:ext cx="5349240" cy="3022987"/>
                    </a:xfrm>
                    <a:prstGeom prst="rect"/>
                  </pic:spPr>
                </pic:pic>
              </a:graphicData>
            </a:graphic>
          </wp:inline>
        </w:drawing>
      </w:r>
    </w:p>
    <w:p>
      <w:pPr>
        <w:jc w:val="center"/>
      </w:pPr>
      <w:r>
        <w:drawing>
          <wp:inline xmlns:a="http://schemas.openxmlformats.org/drawingml/2006/main" xmlns:pic="http://schemas.openxmlformats.org/drawingml/2006/picture">
            <wp:extent cx="5349240" cy="3022987"/>
            <wp:docPr id="5" name="Picture 5"/>
            <wp:cNvGraphicFramePr>
              <a:graphicFrameLocks noChangeAspect="1"/>
            </wp:cNvGraphicFramePr>
            <a:graphic>
              <a:graphicData uri="http://schemas.openxmlformats.org/drawingml/2006/picture">
                <pic:pic>
                  <pic:nvPicPr>
                    <pic:cNvPr id="0" name="merchant_stickiness.png"/>
                    <pic:cNvPicPr/>
                  </pic:nvPicPr>
                  <pic:blipFill>
                    <a:blip r:embed="rId14"/>
                    <a:stretch>
                      <a:fillRect/>
                    </a:stretch>
                  </pic:blipFill>
                  <pic:spPr>
                    <a:xfrm>
                      <a:off x="0" y="0"/>
                      <a:ext cx="5349240" cy="3022987"/>
                    </a:xfrm>
                    <a:prstGeom prst="rect"/>
                  </pic:spPr>
                </pic:pic>
              </a:graphicData>
            </a:graphic>
          </wp:inline>
        </w:drawing>
      </w:r>
    </w:p>
    <w:p>
      <w:pPr>
        <w:jc w:val="center"/>
      </w:pPr>
      <w:r>
        <w:rPr>
          <w:rFonts w:ascii="Aptos" w:hAnsi="Aptos"/>
          <w:b w:val="0"/>
          <w:color w:val="5F6470"/>
          <w:sz w:val="14"/>
        </w:rPr>
        <w:t>REPORTED: PhonePe UDRHP. DAM/MAM captures daily merchant stickiness; TPAM captures monthly transaction intensity.</w:t>
      </w:r>
    </w:p>
    <w:tbl>
      <w:tblPr>
        <w:tblW w:type="auto" w:w="0"/>
        <w:jc w:val="center"/>
        <w:tblLayout w:type="autofit"/>
        <w:tblLook w:firstColumn="1" w:firstRow="1" w:lastColumn="0" w:lastRow="0" w:noHBand="0" w:noVBand="1" w:val="04A0"/>
      </w:tblPr>
      <w:tblGrid>
        <w:gridCol w:w="2613"/>
        <w:gridCol w:w="2613"/>
        <w:gridCol w:w="2613"/>
        <w:gridCol w:w="2613"/>
      </w:tblGrid>
      <w:tr>
        <w:tc>
          <w:tcPr>
            <w:tcW w:type="dxa" w:w="2613"/>
            <w:shd w:fill="F5F0FA"/>
            <w:tcMar>
              <w:top w:w="100" w:type="dxa"/>
              <w:start w:w="80" w:type="dxa"/>
              <w:bottom w:w="100" w:type="dxa"/>
              <w:end w:w="80" w:type="dxa"/>
            </w:tcMar>
            <w:vAlign w:val="center"/>
          </w:tcPr>
          <w:p>
            <w:pPr>
              <w:jc w:val="center"/>
            </w:pPr>
            <w:r>
              <w:rPr>
                <w:rFonts w:ascii="Aptos" w:hAnsi="Aptos"/>
                <w:b/>
                <w:color w:val="5F259F"/>
                <w:sz w:val="36"/>
              </w:rPr>
              <w:t>147.87</w:t>
            </w:r>
          </w:p>
          <w:p>
            <w:pPr>
              <w:jc w:val="center"/>
            </w:pPr>
            <w:r>
              <w:rPr>
                <w:rFonts w:ascii="Aptos" w:hAnsi="Aptos"/>
                <w:b w:val="0"/>
                <w:color w:val="5F6470"/>
                <w:sz w:val="15"/>
              </w:rPr>
              <w:t>TPAM Mar-23</w:t>
            </w:r>
          </w:p>
        </w:tc>
        <w:tc>
          <w:tcPr>
            <w:tcW w:type="dxa" w:w="2613"/>
            <w:shd w:fill="F5F0FA"/>
            <w:tcMar>
              <w:top w:w="100" w:type="dxa"/>
              <w:start w:w="80" w:type="dxa"/>
              <w:bottom w:w="100" w:type="dxa"/>
              <w:end w:w="80" w:type="dxa"/>
            </w:tcMar>
            <w:vAlign w:val="center"/>
          </w:tcPr>
          <w:p>
            <w:pPr>
              <w:jc w:val="center"/>
            </w:pPr>
            <w:r>
              <w:rPr>
                <w:rFonts w:ascii="Aptos" w:hAnsi="Aptos"/>
                <w:b/>
                <w:color w:val="5F259F"/>
                <w:sz w:val="36"/>
              </w:rPr>
              <w:t>379.16</w:t>
            </w:r>
          </w:p>
          <w:p>
            <w:pPr>
              <w:jc w:val="center"/>
            </w:pPr>
            <w:r>
              <w:rPr>
                <w:rFonts w:ascii="Aptos" w:hAnsi="Aptos"/>
                <w:b w:val="0"/>
                <w:color w:val="5F6470"/>
                <w:sz w:val="15"/>
              </w:rPr>
              <w:t>TPAM Sep-25</w:t>
            </w:r>
          </w:p>
        </w:tc>
        <w:tc>
          <w:tcPr>
            <w:tcW w:type="dxa" w:w="2613"/>
            <w:shd w:fill="F5F0FA"/>
            <w:tcMar>
              <w:top w:w="100" w:type="dxa"/>
              <w:start w:w="80" w:type="dxa"/>
              <w:bottom w:w="100" w:type="dxa"/>
              <w:end w:w="80" w:type="dxa"/>
            </w:tcMar>
            <w:vAlign w:val="center"/>
          </w:tcPr>
          <w:p>
            <w:pPr>
              <w:jc w:val="center"/>
            </w:pPr>
            <w:r>
              <w:rPr>
                <w:rFonts w:ascii="Aptos" w:hAnsi="Aptos"/>
                <w:b/>
                <w:color w:val="5F259F"/>
                <w:sz w:val="36"/>
              </w:rPr>
              <w:t>44.18%</w:t>
            </w:r>
          </w:p>
          <w:p>
            <w:pPr>
              <w:jc w:val="center"/>
            </w:pPr>
            <w:r>
              <w:rPr>
                <w:rFonts w:ascii="Aptos" w:hAnsi="Aptos"/>
                <w:b w:val="0"/>
                <w:color w:val="5F6470"/>
                <w:sz w:val="15"/>
              </w:rPr>
              <w:t>DAM/MAM Mar-23</w:t>
            </w:r>
          </w:p>
        </w:tc>
        <w:tc>
          <w:tcPr>
            <w:tcW w:type="dxa" w:w="2613"/>
            <w:shd w:fill="F5F0FA"/>
            <w:tcMar>
              <w:top w:w="100" w:type="dxa"/>
              <w:start w:w="80" w:type="dxa"/>
              <w:bottom w:w="100" w:type="dxa"/>
              <w:end w:w="80" w:type="dxa"/>
            </w:tcMar>
            <w:vAlign w:val="center"/>
          </w:tcPr>
          <w:p>
            <w:pPr>
              <w:jc w:val="center"/>
            </w:pPr>
            <w:r>
              <w:rPr>
                <w:rFonts w:ascii="Aptos" w:hAnsi="Aptos"/>
                <w:b/>
                <w:color w:val="5F259F"/>
                <w:sz w:val="36"/>
              </w:rPr>
              <w:t>60.77%</w:t>
            </w:r>
          </w:p>
          <w:p>
            <w:pPr>
              <w:jc w:val="center"/>
            </w:pPr>
            <w:r>
              <w:rPr>
                <w:rFonts w:ascii="Aptos" w:hAnsi="Aptos"/>
                <w:b w:val="0"/>
                <w:color w:val="5F6470"/>
                <w:sz w:val="15"/>
              </w:rPr>
              <w:t>DAM/MAM Sep-25</w:t>
            </w:r>
          </w:p>
        </w:tc>
      </w:tr>
    </w:tbl>
    <w:p>
      <w:pPr>
        <w:spacing w:after="20"/>
      </w:pPr>
    </w:p>
    <w:p>
      <w:r>
        <w:br w:type="page"/>
      </w:r>
    </w:p>
    <w:p>
      <w:r>
        <w:rPr>
          <w:rFonts w:ascii="Aptos" w:hAnsi="Aptos"/>
          <w:b/>
          <w:color w:val="5F259F"/>
          <w:sz w:val="48"/>
        </w:rPr>
        <w:t>07  Merchant Infrastructure</w:t>
      </w:r>
    </w:p>
    <w:p>
      <w:r>
        <w:rPr>
          <w:rFonts w:ascii="Aptos" w:hAnsi="Aptos"/>
          <w:b w:val="0"/>
          <w:color w:val="5F6470"/>
          <w:sz w:val="22"/>
        </w:rPr>
        <w:t>Physical payment devices deepen engagement and create a recurring monetization surface.</w:t>
      </w:r>
    </w:p>
    <w:p>
      <w:pPr>
        <w:jc w:val="center"/>
      </w:pPr>
      <w:r>
        <w:drawing>
          <wp:inline xmlns:a="http://schemas.openxmlformats.org/drawingml/2006/main" xmlns:pic="http://schemas.openxmlformats.org/drawingml/2006/picture">
            <wp:extent cx="5943600" cy="3358874"/>
            <wp:docPr id="6" name="Picture 6"/>
            <wp:cNvGraphicFramePr>
              <a:graphicFrameLocks noChangeAspect="1"/>
            </wp:cNvGraphicFramePr>
            <a:graphic>
              <a:graphicData uri="http://schemas.openxmlformats.org/drawingml/2006/picture">
                <pic:pic>
                  <pic:nvPicPr>
                    <pic:cNvPr id="0" name="devices.png"/>
                    <pic:cNvPicPr/>
                  </pic:nvPicPr>
                  <pic:blipFill>
                    <a:blip r:embed="rId15"/>
                    <a:stretch>
                      <a:fillRect/>
                    </a:stretch>
                  </pic:blipFill>
                  <pic:spPr>
                    <a:xfrm>
                      <a:off x="0" y="0"/>
                      <a:ext cx="5943600" cy="3358874"/>
                    </a:xfrm>
                    <a:prstGeom prst="rect"/>
                  </pic:spPr>
                </pic:pic>
              </a:graphicData>
            </a:graphic>
          </wp:inline>
        </w:drawing>
      </w:r>
    </w:p>
    <w:p>
      <w:pPr>
        <w:jc w:val="center"/>
      </w:pPr>
      <w:r>
        <w:rPr>
          <w:rFonts w:ascii="Aptos" w:hAnsi="Aptos"/>
          <w:b w:val="0"/>
          <w:color w:val="5F6470"/>
          <w:sz w:val="14"/>
        </w:rPr>
        <w:t>REPORTED: 9.19M net deployed payment devices as of Sep-2025.</w:t>
      </w:r>
    </w:p>
    <w:p>
      <w:pPr>
        <w:spacing w:after="80" w:line="259" w:lineRule="auto"/>
      </w:pPr>
      <w:r>
        <w:rPr>
          <w:rFonts w:ascii="Aptos" w:hAnsi="Aptos"/>
          <w:b w:val="0"/>
          <w:color w:val="1A1033"/>
          <w:sz w:val="19"/>
        </w:rPr>
        <w:t>PhonePe identifies Smartspeakers and EDC machines as a merchant-engagement strategy and a recurring-revenue source. Device deployment, however, should be treated as an eligibility decision: hardware cost is better deployed where transaction density and retention justify it.</w:t>
      </w:r>
    </w:p>
    <w:tbl>
      <w:tblPr>
        <w:tblW w:type="auto" w:w="0"/>
        <w:tblLook w:firstColumn="1" w:firstRow="1" w:lastColumn="0" w:lastRow="0" w:noHBand="0" w:noVBand="1" w:val="04A0"/>
      </w:tblPr>
      <w:tblGrid>
        <w:gridCol w:w="10454"/>
      </w:tblGrid>
      <w:tr>
        <w:tc>
          <w:tcPr>
            <w:tcW w:type="dxa" w:w="10454"/>
            <w:shd w:fill="F5F0FA"/>
            <w:tcMar>
              <w:top w:w="130" w:type="dxa"/>
              <w:start w:w="150" w:type="dxa"/>
              <w:bottom w:w="130" w:type="dxa"/>
              <w:end w:w="150" w:type="dxa"/>
            </w:tcMar>
          </w:tcPr>
          <w:p>
            <w:r>
              <w:rPr>
                <w:rFonts w:ascii="Aptos" w:hAnsi="Aptos"/>
                <w:b/>
                <w:color w:val="5F259F"/>
                <w:sz w:val="19"/>
              </w:rPr>
              <w:t xml:space="preserve">CAUSALITY WARNING  </w:t>
            </w:r>
            <w:r>
              <w:rPr>
                <w:rFonts w:ascii="Aptos" w:hAnsi="Aptos"/>
                <w:b w:val="0"/>
                <w:color w:val="1A1033"/>
                <w:sz w:val="18"/>
              </w:rPr>
              <w:t>If device merchants retain better, that does not prove the device caused retention. High-quality merchants may be more likely to receive a device. Use randomized eligibility, propensity matching or difference-in-differences where practical.</w:t>
            </w:r>
          </w:p>
        </w:tc>
      </w:tr>
    </w:tbl>
    <w:p>
      <w:pPr>
        <w:spacing w:after="20"/>
      </w:pPr>
    </w:p>
    <w:p>
      <w:pPr>
        <w:pStyle w:val="Heading2"/>
        <w:spacing w:before="120" w:after="80"/>
      </w:pPr>
      <w:r>
        <w:rPr>
          <w:rFonts w:ascii="Aptos" w:hAnsi="Aptos"/>
          <w:b/>
          <w:color w:val="1A1033"/>
          <w:sz w:val="24"/>
        </w:rPr>
        <w:t>Eligibility signals</w:t>
      </w:r>
    </w:p>
    <w:p>
      <w:pPr>
        <w:pStyle w:val="ListBullet"/>
        <w:spacing w:after="40"/>
        <w:ind w:left="259"/>
      </w:pPr>
      <w:r>
        <w:rPr>
          <w:rFonts w:ascii="Aptos" w:hAnsi="Aptos"/>
          <w:b w:val="0"/>
          <w:color w:val="1A1033"/>
          <w:sz w:val="18"/>
        </w:rPr>
        <w:t>TPAM and active days</w:t>
      </w:r>
    </w:p>
    <w:p>
      <w:pPr>
        <w:pStyle w:val="ListBullet"/>
        <w:spacing w:after="40"/>
        <w:ind w:left="259"/>
      </w:pPr>
      <w:r>
        <w:rPr>
          <w:rFonts w:ascii="Aptos" w:hAnsi="Aptos"/>
          <w:b w:val="0"/>
          <w:color w:val="1A1033"/>
          <w:sz w:val="18"/>
        </w:rPr>
        <w:t>transaction stability / TPV trend</w:t>
      </w:r>
    </w:p>
    <w:p>
      <w:pPr>
        <w:pStyle w:val="ListBullet"/>
        <w:spacing w:after="40"/>
        <w:ind w:left="259"/>
      </w:pPr>
      <w:r>
        <w:rPr>
          <w:rFonts w:ascii="Aptos" w:hAnsi="Aptos"/>
          <w:b w:val="0"/>
          <w:color w:val="1A1033"/>
          <w:sz w:val="18"/>
        </w:rPr>
        <w:t>merchant category and payment mix</w:t>
      </w:r>
    </w:p>
    <w:p>
      <w:pPr>
        <w:pStyle w:val="ListBullet"/>
        <w:spacing w:after="40"/>
        <w:ind w:left="259"/>
      </w:pPr>
      <w:r>
        <w:rPr>
          <w:rFonts w:ascii="Aptos" w:hAnsi="Aptos"/>
          <w:b w:val="0"/>
          <w:color w:val="1A1033"/>
          <w:sz w:val="18"/>
        </w:rPr>
        <w:t>refund/dispute rate</w:t>
      </w:r>
    </w:p>
    <w:p>
      <w:pPr>
        <w:pStyle w:val="ListBullet"/>
        <w:spacing w:after="40"/>
        <w:ind w:left="259"/>
      </w:pPr>
      <w:r>
        <w:rPr>
          <w:rFonts w:ascii="Aptos" w:hAnsi="Aptos"/>
          <w:b w:val="0"/>
          <w:color w:val="1A1033"/>
          <w:sz w:val="18"/>
        </w:rPr>
        <w:t>existing QR usage</w:t>
      </w:r>
    </w:p>
    <w:p>
      <w:pPr>
        <w:pStyle w:val="ListBullet"/>
        <w:spacing w:after="40"/>
        <w:ind w:left="259"/>
      </w:pPr>
      <w:r>
        <w:rPr>
          <w:rFonts w:ascii="Aptos" w:hAnsi="Aptos"/>
          <w:b w:val="0"/>
          <w:color w:val="1A1033"/>
          <w:sz w:val="18"/>
        </w:rPr>
        <w:t>expected subscription/device lifetime</w:t>
      </w:r>
    </w:p>
    <w:p>
      <w:r>
        <w:br w:type="page"/>
      </w:r>
    </w:p>
    <w:p>
      <w:r>
        <w:rPr>
          <w:rFonts w:ascii="Aptos" w:hAnsi="Aptos"/>
          <w:b/>
          <w:color w:val="5F259F"/>
          <w:sz w:val="48"/>
        </w:rPr>
        <w:t>08  Q2 2026 Transaction Mix</w:t>
      </w:r>
    </w:p>
    <w:p>
      <w:r>
        <w:rPr>
          <w:rFonts w:ascii="Aptos" w:hAnsi="Aptos"/>
          <w:b w:val="0"/>
          <w:color w:val="5F6470"/>
          <w:sz w:val="22"/>
        </w:rPr>
        <w:t>Merchant/business payments dominate count; P2P dominates value.</w:t>
      </w:r>
    </w:p>
    <w:p>
      <w:pPr>
        <w:jc w:val="center"/>
      </w:pPr>
      <w:r>
        <w:drawing>
          <wp:inline xmlns:a="http://schemas.openxmlformats.org/drawingml/2006/main" xmlns:pic="http://schemas.openxmlformats.org/drawingml/2006/picture">
            <wp:extent cx="6035040" cy="3410549"/>
            <wp:docPr id="7" name="Picture 7"/>
            <wp:cNvGraphicFramePr>
              <a:graphicFrameLocks noChangeAspect="1"/>
            </wp:cNvGraphicFramePr>
            <a:graphic>
              <a:graphicData uri="http://schemas.openxmlformats.org/drawingml/2006/picture">
                <pic:pic>
                  <pic:nvPicPr>
                    <pic:cNvPr id="0" name="category_mix.png"/>
                    <pic:cNvPicPr/>
                  </pic:nvPicPr>
                  <pic:blipFill>
                    <a:blip r:embed="rId16"/>
                    <a:stretch>
                      <a:fillRect/>
                    </a:stretch>
                  </pic:blipFill>
                  <pic:spPr>
                    <a:xfrm>
                      <a:off x="0" y="0"/>
                      <a:ext cx="6035040" cy="3410549"/>
                    </a:xfrm>
                    <a:prstGeom prst="rect"/>
                  </pic:spPr>
                </pic:pic>
              </a:graphicData>
            </a:graphic>
          </wp:inline>
        </w:drawing>
      </w:r>
    </w:p>
    <w:p>
      <w:pPr>
        <w:jc w:val="center"/>
      </w:pPr>
      <w:r>
        <w:rPr>
          <w:rFonts w:ascii="Aptos" w:hAnsi="Aptos"/>
          <w:b w:val="0"/>
          <w:color w:val="5F6470"/>
          <w:sz w:val="14"/>
        </w:rPr>
        <w:t>REPORTED + DERIVED from Q2 2026 PhonePe Pulse. Business/P2P/Utilities are mutually exclusive in the refreshed dataset.</w:t>
      </w:r>
    </w:p>
    <w:tbl>
      <w:tblPr>
        <w:tblStyle w:val="TableGrid"/>
        <w:tblW w:type="auto" w:w="0"/>
        <w:jc w:val="center"/>
        <w:tblLook w:firstColumn="1" w:firstRow="1" w:lastColumn="0" w:lastRow="0" w:noHBand="0" w:noVBand="1" w:val="04A0"/>
      </w:tblPr>
      <w:tblGrid>
        <w:gridCol w:w="1742"/>
        <w:gridCol w:w="1742"/>
        <w:gridCol w:w="1742"/>
        <w:gridCol w:w="1742"/>
        <w:gridCol w:w="1742"/>
        <w:gridCol w:w="1742"/>
      </w:tblGrid>
      <w:tr>
        <w:tc>
          <w:tcPr>
            <w:tcW w:type="dxa" w:w="1742"/>
            <w:shd w:fill="5F259F"/>
            <w:tcMar>
              <w:top w:w="70" w:type="dxa"/>
              <w:start w:w="60" w:type="dxa"/>
              <w:bottom w:w="70" w:type="dxa"/>
              <w:end w:w="60" w:type="dxa"/>
            </w:tcMar>
          </w:tcPr>
          <w:p>
            <w:r>
              <w:rPr>
                <w:rFonts w:ascii="Aptos" w:hAnsi="Aptos"/>
                <w:b/>
                <w:color w:val="FFFFFF"/>
                <w:sz w:val="14"/>
              </w:rPr>
              <w:t>Category</w:t>
            </w:r>
          </w:p>
        </w:tc>
        <w:tc>
          <w:tcPr>
            <w:tcW w:type="dxa" w:w="1742"/>
            <w:shd w:fill="5F259F"/>
            <w:tcMar>
              <w:top w:w="70" w:type="dxa"/>
              <w:start w:w="60" w:type="dxa"/>
              <w:bottom w:w="70" w:type="dxa"/>
              <w:end w:w="60" w:type="dxa"/>
            </w:tcMar>
          </w:tcPr>
          <w:p>
            <w:r>
              <w:rPr>
                <w:rFonts w:ascii="Aptos" w:hAnsi="Aptos"/>
                <w:b/>
                <w:color w:val="FFFFFF"/>
                <w:sz w:val="14"/>
              </w:rPr>
              <w:t>Tx Bn</w:t>
            </w:r>
          </w:p>
        </w:tc>
        <w:tc>
          <w:tcPr>
            <w:tcW w:type="dxa" w:w="1742"/>
            <w:shd w:fill="5F259F"/>
            <w:tcMar>
              <w:top w:w="70" w:type="dxa"/>
              <w:start w:w="60" w:type="dxa"/>
              <w:bottom w:w="70" w:type="dxa"/>
              <w:end w:w="60" w:type="dxa"/>
            </w:tcMar>
          </w:tcPr>
          <w:p>
            <w:r>
              <w:rPr>
                <w:rFonts w:ascii="Aptos" w:hAnsi="Aptos"/>
                <w:b/>
                <w:color w:val="FFFFFF"/>
                <w:sz w:val="14"/>
              </w:rPr>
              <w:t>Vol %</w:t>
            </w:r>
          </w:p>
        </w:tc>
        <w:tc>
          <w:tcPr>
            <w:tcW w:type="dxa" w:w="1742"/>
            <w:shd w:fill="5F259F"/>
            <w:tcMar>
              <w:top w:w="70" w:type="dxa"/>
              <w:start w:w="60" w:type="dxa"/>
              <w:bottom w:w="70" w:type="dxa"/>
              <w:end w:w="60" w:type="dxa"/>
            </w:tcMar>
          </w:tcPr>
          <w:p>
            <w:r>
              <w:rPr>
                <w:rFonts w:ascii="Aptos" w:hAnsi="Aptos"/>
                <w:b/>
                <w:color w:val="FFFFFF"/>
                <w:sz w:val="14"/>
              </w:rPr>
              <w:t>TPV ₹T</w:t>
            </w:r>
          </w:p>
        </w:tc>
        <w:tc>
          <w:tcPr>
            <w:tcW w:type="dxa" w:w="1742"/>
            <w:shd w:fill="5F259F"/>
            <w:tcMar>
              <w:top w:w="70" w:type="dxa"/>
              <w:start w:w="60" w:type="dxa"/>
              <w:bottom w:w="70" w:type="dxa"/>
              <w:end w:w="60" w:type="dxa"/>
            </w:tcMar>
          </w:tcPr>
          <w:p>
            <w:r>
              <w:rPr>
                <w:rFonts w:ascii="Aptos" w:hAnsi="Aptos"/>
                <w:b/>
                <w:color w:val="FFFFFF"/>
                <w:sz w:val="14"/>
              </w:rPr>
              <w:t>Value %</w:t>
            </w:r>
          </w:p>
        </w:tc>
        <w:tc>
          <w:tcPr>
            <w:tcW w:type="dxa" w:w="1742"/>
            <w:shd w:fill="5F259F"/>
            <w:tcMar>
              <w:top w:w="70" w:type="dxa"/>
              <w:start w:w="60" w:type="dxa"/>
              <w:bottom w:w="70" w:type="dxa"/>
              <w:end w:w="60" w:type="dxa"/>
            </w:tcMar>
          </w:tcPr>
          <w:p>
            <w:r>
              <w:rPr>
                <w:rFonts w:ascii="Aptos" w:hAnsi="Aptos"/>
                <w:b/>
                <w:color w:val="FFFFFF"/>
                <w:sz w:val="14"/>
              </w:rPr>
              <w:t>ATV ₹</w:t>
            </w:r>
          </w:p>
        </w:tc>
      </w:tr>
      <w:tr>
        <w:tc>
          <w:tcPr>
            <w:tcW w:type="dxa" w:w="1742"/>
            <w:tcMar>
              <w:top w:w="60" w:type="dxa"/>
              <w:start w:w="55" w:type="dxa"/>
              <w:bottom w:w="60" w:type="dxa"/>
              <w:end w:w="55" w:type="dxa"/>
            </w:tcMar>
          </w:tcPr>
          <w:p>
            <w:r>
              <w:rPr>
                <w:rFonts w:ascii="Aptos" w:hAnsi="Aptos"/>
                <w:b w:val="0"/>
                <w:color w:val="1A1033"/>
                <w:sz w:val="14"/>
              </w:rPr>
              <w:t>P2P</w:t>
            </w:r>
          </w:p>
        </w:tc>
        <w:tc>
          <w:tcPr>
            <w:tcW w:type="dxa" w:w="1742"/>
            <w:tcMar>
              <w:top w:w="60" w:type="dxa"/>
              <w:start w:w="55" w:type="dxa"/>
              <w:bottom w:w="60" w:type="dxa"/>
              <w:end w:w="55" w:type="dxa"/>
            </w:tcMar>
          </w:tcPr>
          <w:p>
            <w:r>
              <w:rPr>
                <w:rFonts w:ascii="Aptos" w:hAnsi="Aptos"/>
                <w:b w:val="0"/>
                <w:color w:val="1A1033"/>
                <w:sz w:val="14"/>
              </w:rPr>
              <w:t>11.89</w:t>
            </w:r>
          </w:p>
        </w:tc>
        <w:tc>
          <w:tcPr>
            <w:tcW w:type="dxa" w:w="1742"/>
            <w:tcMar>
              <w:top w:w="60" w:type="dxa"/>
              <w:start w:w="55" w:type="dxa"/>
              <w:bottom w:w="60" w:type="dxa"/>
              <w:end w:w="55" w:type="dxa"/>
            </w:tcMar>
          </w:tcPr>
          <w:p>
            <w:r>
              <w:rPr>
                <w:rFonts w:ascii="Aptos" w:hAnsi="Aptos"/>
                <w:b w:val="0"/>
                <w:color w:val="1A1033"/>
                <w:sz w:val="14"/>
              </w:rPr>
              <w:t>30.8%</w:t>
            </w:r>
          </w:p>
        </w:tc>
        <w:tc>
          <w:tcPr>
            <w:tcW w:type="dxa" w:w="1742"/>
            <w:tcMar>
              <w:top w:w="60" w:type="dxa"/>
              <w:start w:w="55" w:type="dxa"/>
              <w:bottom w:w="60" w:type="dxa"/>
              <w:end w:w="55" w:type="dxa"/>
            </w:tcMar>
          </w:tcPr>
          <w:p>
            <w:r>
              <w:rPr>
                <w:rFonts w:ascii="Aptos" w:hAnsi="Aptos"/>
                <w:b w:val="0"/>
                <w:color w:val="1A1033"/>
                <w:sz w:val="14"/>
              </w:rPr>
              <w:t>32.39</w:t>
            </w:r>
          </w:p>
        </w:tc>
        <w:tc>
          <w:tcPr>
            <w:tcW w:type="dxa" w:w="1742"/>
            <w:tcMar>
              <w:top w:w="60" w:type="dxa"/>
              <w:start w:w="55" w:type="dxa"/>
              <w:bottom w:w="60" w:type="dxa"/>
              <w:end w:w="55" w:type="dxa"/>
            </w:tcMar>
          </w:tcPr>
          <w:p>
            <w:r>
              <w:rPr>
                <w:rFonts w:ascii="Aptos" w:hAnsi="Aptos"/>
                <w:b w:val="0"/>
                <w:color w:val="1A1033"/>
                <w:sz w:val="14"/>
              </w:rPr>
              <w:t>71.2%</w:t>
            </w:r>
          </w:p>
        </w:tc>
        <w:tc>
          <w:tcPr>
            <w:tcW w:type="dxa" w:w="1742"/>
            <w:tcMar>
              <w:top w:w="60" w:type="dxa"/>
              <w:start w:w="55" w:type="dxa"/>
              <w:bottom w:w="60" w:type="dxa"/>
              <w:end w:w="55" w:type="dxa"/>
            </w:tcMar>
          </w:tcPr>
          <w:p>
            <w:r>
              <w:rPr>
                <w:rFonts w:ascii="Aptos" w:hAnsi="Aptos"/>
                <w:b w:val="0"/>
                <w:color w:val="1A1033"/>
                <w:sz w:val="14"/>
              </w:rPr>
              <w:t>2,724</w:t>
            </w:r>
          </w:p>
        </w:tc>
      </w:tr>
      <w:tr>
        <w:tc>
          <w:tcPr>
            <w:tcW w:type="dxa" w:w="1742"/>
            <w:tcMar>
              <w:top w:w="60" w:type="dxa"/>
              <w:start w:w="55" w:type="dxa"/>
              <w:bottom w:w="60" w:type="dxa"/>
              <w:end w:w="55" w:type="dxa"/>
            </w:tcMar>
            <w:shd w:fill="F8F5FB"/>
          </w:tcPr>
          <w:p>
            <w:r>
              <w:rPr>
                <w:rFonts w:ascii="Aptos" w:hAnsi="Aptos"/>
                <w:b w:val="0"/>
                <w:color w:val="1A1033"/>
                <w:sz w:val="14"/>
              </w:rPr>
              <w:t>Business</w:t>
            </w:r>
          </w:p>
        </w:tc>
        <w:tc>
          <w:tcPr>
            <w:tcW w:type="dxa" w:w="1742"/>
            <w:tcMar>
              <w:top w:w="60" w:type="dxa"/>
              <w:start w:w="55" w:type="dxa"/>
              <w:bottom w:w="60" w:type="dxa"/>
              <w:end w:w="55" w:type="dxa"/>
            </w:tcMar>
            <w:shd w:fill="F8F5FB"/>
          </w:tcPr>
          <w:p>
            <w:r>
              <w:rPr>
                <w:rFonts w:ascii="Aptos" w:hAnsi="Aptos"/>
                <w:b w:val="0"/>
                <w:color w:val="1A1033"/>
                <w:sz w:val="14"/>
              </w:rPr>
              <w:t>24.69</w:t>
            </w:r>
          </w:p>
        </w:tc>
        <w:tc>
          <w:tcPr>
            <w:tcW w:type="dxa" w:w="1742"/>
            <w:tcMar>
              <w:top w:w="60" w:type="dxa"/>
              <w:start w:w="55" w:type="dxa"/>
              <w:bottom w:w="60" w:type="dxa"/>
              <w:end w:w="55" w:type="dxa"/>
            </w:tcMar>
            <w:shd w:fill="F8F5FB"/>
          </w:tcPr>
          <w:p>
            <w:r>
              <w:rPr>
                <w:rFonts w:ascii="Aptos" w:hAnsi="Aptos"/>
                <w:b w:val="0"/>
                <w:color w:val="1A1033"/>
                <w:sz w:val="14"/>
              </w:rPr>
              <w:t>63.9%</w:t>
            </w:r>
          </w:p>
        </w:tc>
        <w:tc>
          <w:tcPr>
            <w:tcW w:type="dxa" w:w="1742"/>
            <w:tcMar>
              <w:top w:w="60" w:type="dxa"/>
              <w:start w:w="55" w:type="dxa"/>
              <w:bottom w:w="60" w:type="dxa"/>
              <w:end w:w="55" w:type="dxa"/>
            </w:tcMar>
            <w:shd w:fill="F8F5FB"/>
          </w:tcPr>
          <w:p>
            <w:r>
              <w:rPr>
                <w:rFonts w:ascii="Aptos" w:hAnsi="Aptos"/>
                <w:b w:val="0"/>
                <w:color w:val="1A1033"/>
                <w:sz w:val="14"/>
              </w:rPr>
              <w:t>10.48</w:t>
            </w:r>
          </w:p>
        </w:tc>
        <w:tc>
          <w:tcPr>
            <w:tcW w:type="dxa" w:w="1742"/>
            <w:tcMar>
              <w:top w:w="60" w:type="dxa"/>
              <w:start w:w="55" w:type="dxa"/>
              <w:bottom w:w="60" w:type="dxa"/>
              <w:end w:w="55" w:type="dxa"/>
            </w:tcMar>
            <w:shd w:fill="F8F5FB"/>
          </w:tcPr>
          <w:p>
            <w:r>
              <w:rPr>
                <w:rFonts w:ascii="Aptos" w:hAnsi="Aptos"/>
                <w:b w:val="0"/>
                <w:color w:val="1A1033"/>
                <w:sz w:val="14"/>
              </w:rPr>
              <w:t>23.0%</w:t>
            </w:r>
          </w:p>
        </w:tc>
        <w:tc>
          <w:tcPr>
            <w:tcW w:type="dxa" w:w="1742"/>
            <w:tcMar>
              <w:top w:w="60" w:type="dxa"/>
              <w:start w:w="55" w:type="dxa"/>
              <w:bottom w:w="60" w:type="dxa"/>
              <w:end w:w="55" w:type="dxa"/>
            </w:tcMar>
            <w:shd w:fill="F8F5FB"/>
          </w:tcPr>
          <w:p>
            <w:r>
              <w:rPr>
                <w:rFonts w:ascii="Aptos" w:hAnsi="Aptos"/>
                <w:b w:val="0"/>
                <w:color w:val="1A1033"/>
                <w:sz w:val="14"/>
              </w:rPr>
              <w:t>425</w:t>
            </w:r>
          </w:p>
        </w:tc>
      </w:tr>
      <w:tr>
        <w:tc>
          <w:tcPr>
            <w:tcW w:type="dxa" w:w="1742"/>
            <w:tcMar>
              <w:top w:w="60" w:type="dxa"/>
              <w:start w:w="55" w:type="dxa"/>
              <w:bottom w:w="60" w:type="dxa"/>
              <w:end w:w="55" w:type="dxa"/>
            </w:tcMar>
          </w:tcPr>
          <w:p>
            <w:r>
              <w:rPr>
                <w:rFonts w:ascii="Aptos" w:hAnsi="Aptos"/>
                <w:b w:val="0"/>
                <w:color w:val="1A1033"/>
                <w:sz w:val="14"/>
              </w:rPr>
              <w:t>Utilities</w:t>
            </w:r>
          </w:p>
        </w:tc>
        <w:tc>
          <w:tcPr>
            <w:tcW w:type="dxa" w:w="1742"/>
            <w:tcMar>
              <w:top w:w="60" w:type="dxa"/>
              <w:start w:w="55" w:type="dxa"/>
              <w:bottom w:w="60" w:type="dxa"/>
              <w:end w:w="55" w:type="dxa"/>
            </w:tcMar>
          </w:tcPr>
          <w:p>
            <w:r>
              <w:rPr>
                <w:rFonts w:ascii="Aptos" w:hAnsi="Aptos"/>
                <w:b w:val="0"/>
                <w:color w:val="1A1033"/>
                <w:sz w:val="14"/>
              </w:rPr>
              <w:t>2.08</w:t>
            </w:r>
          </w:p>
        </w:tc>
        <w:tc>
          <w:tcPr>
            <w:tcW w:type="dxa" w:w="1742"/>
            <w:tcMar>
              <w:top w:w="60" w:type="dxa"/>
              <w:start w:w="55" w:type="dxa"/>
              <w:bottom w:w="60" w:type="dxa"/>
              <w:end w:w="55" w:type="dxa"/>
            </w:tcMar>
          </w:tcPr>
          <w:p>
            <w:r>
              <w:rPr>
                <w:rFonts w:ascii="Aptos" w:hAnsi="Aptos"/>
                <w:b w:val="0"/>
                <w:color w:val="1A1033"/>
                <w:sz w:val="14"/>
              </w:rPr>
              <w:t>5.4%</w:t>
            </w:r>
          </w:p>
        </w:tc>
        <w:tc>
          <w:tcPr>
            <w:tcW w:type="dxa" w:w="1742"/>
            <w:tcMar>
              <w:top w:w="60" w:type="dxa"/>
              <w:start w:w="55" w:type="dxa"/>
              <w:bottom w:w="60" w:type="dxa"/>
              <w:end w:w="55" w:type="dxa"/>
            </w:tcMar>
          </w:tcPr>
          <w:p>
            <w:r>
              <w:rPr>
                <w:rFonts w:ascii="Aptos" w:hAnsi="Aptos"/>
                <w:b w:val="0"/>
                <w:color w:val="1A1033"/>
                <w:sz w:val="14"/>
              </w:rPr>
              <w:t>2.62</w:t>
            </w:r>
          </w:p>
        </w:tc>
        <w:tc>
          <w:tcPr>
            <w:tcW w:type="dxa" w:w="1742"/>
            <w:tcMar>
              <w:top w:w="60" w:type="dxa"/>
              <w:start w:w="55" w:type="dxa"/>
              <w:bottom w:w="60" w:type="dxa"/>
              <w:end w:w="55" w:type="dxa"/>
            </w:tcMar>
          </w:tcPr>
          <w:p>
            <w:r>
              <w:rPr>
                <w:rFonts w:ascii="Aptos" w:hAnsi="Aptos"/>
                <w:b w:val="0"/>
                <w:color w:val="1A1033"/>
                <w:sz w:val="14"/>
              </w:rPr>
              <w:t>5.8%</w:t>
            </w:r>
          </w:p>
        </w:tc>
        <w:tc>
          <w:tcPr>
            <w:tcW w:type="dxa" w:w="1742"/>
            <w:tcMar>
              <w:top w:w="60" w:type="dxa"/>
              <w:start w:w="55" w:type="dxa"/>
              <w:bottom w:w="60" w:type="dxa"/>
              <w:end w:w="55" w:type="dxa"/>
            </w:tcMar>
          </w:tcPr>
          <w:p>
            <w:r>
              <w:rPr>
                <w:rFonts w:ascii="Aptos" w:hAnsi="Aptos"/>
                <w:b w:val="0"/>
                <w:color w:val="1A1033"/>
                <w:sz w:val="14"/>
              </w:rPr>
              <w:t>1,259</w:t>
            </w:r>
          </w:p>
        </w:tc>
      </w:tr>
    </w:tbl>
    <w:p>
      <w:pPr>
        <w:spacing w:after="40"/>
      </w:pPr>
    </w:p>
    <w:tbl>
      <w:tblPr>
        <w:tblW w:type="auto" w:w="0"/>
        <w:tblLook w:firstColumn="1" w:firstRow="1" w:lastColumn="0" w:lastRow="0" w:noHBand="0" w:noVBand="1" w:val="04A0"/>
      </w:tblPr>
      <w:tblGrid>
        <w:gridCol w:w="10454"/>
      </w:tblGrid>
      <w:tr>
        <w:tc>
          <w:tcPr>
            <w:tcW w:type="dxa" w:w="10454"/>
            <w:shd w:fill="F5F0FA"/>
            <w:tcMar>
              <w:top w:w="130" w:type="dxa"/>
              <w:start w:w="150" w:type="dxa"/>
              <w:bottom w:w="130" w:type="dxa"/>
              <w:end w:w="150" w:type="dxa"/>
            </w:tcMar>
          </w:tcPr>
          <w:p>
            <w:r>
              <w:rPr>
                <w:rFonts w:ascii="Aptos" w:hAnsi="Aptos"/>
                <w:b/>
                <w:color w:val="5F259F"/>
                <w:sz w:val="19"/>
              </w:rPr>
              <w:t xml:space="preserve">INSIGHT  </w:t>
            </w:r>
            <w:r>
              <w:rPr>
                <w:rFonts w:ascii="Aptos" w:hAnsi="Aptos"/>
                <w:b w:val="0"/>
                <w:color w:val="1A1033"/>
                <w:sz w:val="18"/>
              </w:rPr>
              <w:t>Business transactions represent ~63.9% of Pulse count but ~23.0% of value, with derived ATV ~₹425. That makes merchant payments a frequency engine and a strong surface for habit, devices and merchant services.</w:t>
            </w:r>
          </w:p>
        </w:tc>
      </w:tr>
    </w:tbl>
    <w:p>
      <w:pPr>
        <w:spacing w:after="20"/>
      </w:pPr>
    </w:p>
    <w:p>
      <w:r>
        <w:br w:type="page"/>
      </w:r>
    </w:p>
    <w:p>
      <w:r>
        <w:rPr>
          <w:rFonts w:ascii="Aptos" w:hAnsi="Aptos"/>
          <w:b/>
          <w:color w:val="5F259F"/>
          <w:sz w:val="48"/>
        </w:rPr>
        <w:t>09  Geographic Growth Lens</w:t>
      </w:r>
    </w:p>
    <w:p>
      <w:r>
        <w:rPr>
          <w:rFonts w:ascii="Aptos" w:hAnsi="Aptos"/>
          <w:b w:val="0"/>
          <w:color w:val="5F6470"/>
          <w:sz w:val="22"/>
        </w:rPr>
        <w:t>Distribution and engagement are not equally deep across large states.</w:t>
      </w:r>
    </w:p>
    <w:p>
      <w:pPr>
        <w:jc w:val="center"/>
      </w:pPr>
      <w:r>
        <w:drawing>
          <wp:inline xmlns:a="http://schemas.openxmlformats.org/drawingml/2006/main" xmlns:pic="http://schemas.openxmlformats.org/drawingml/2006/picture">
            <wp:extent cx="5989320" cy="3853129"/>
            <wp:docPr id="8" name="Picture 8"/>
            <wp:cNvGraphicFramePr>
              <a:graphicFrameLocks noChangeAspect="1"/>
            </wp:cNvGraphicFramePr>
            <a:graphic>
              <a:graphicData uri="http://schemas.openxmlformats.org/drawingml/2006/picture">
                <pic:pic>
                  <pic:nvPicPr>
                    <pic:cNvPr id="0" name="geo_engagement.png"/>
                    <pic:cNvPicPr/>
                  </pic:nvPicPr>
                  <pic:blipFill>
                    <a:blip r:embed="rId17"/>
                    <a:stretch>
                      <a:fillRect/>
                    </a:stretch>
                  </pic:blipFill>
                  <pic:spPr>
                    <a:xfrm>
                      <a:off x="0" y="0"/>
                      <a:ext cx="5989320" cy="3853129"/>
                    </a:xfrm>
                    <a:prstGeom prst="rect"/>
                  </pic:spPr>
                </pic:pic>
              </a:graphicData>
            </a:graphic>
          </wp:inline>
        </w:drawing>
      </w:r>
    </w:p>
    <w:p>
      <w:pPr>
        <w:jc w:val="center"/>
      </w:pPr>
      <w:r>
        <w:rPr>
          <w:rFonts w:ascii="Aptos" w:hAnsi="Aptos"/>
          <w:b w:val="0"/>
          <w:color w:val="5F6470"/>
          <w:sz w:val="14"/>
        </w:rPr>
        <w:t>*DERIVED from Q2 2026 Pulse top-state aggregates. Ratios use LTD registered bases, not active-period denominators.</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5F259F"/>
            <w:tcMar>
              <w:top w:w="70" w:type="dxa"/>
              <w:start w:w="60" w:type="dxa"/>
              <w:bottom w:w="70" w:type="dxa"/>
              <w:end w:w="60" w:type="dxa"/>
            </w:tcMar>
          </w:tcPr>
          <w:p>
            <w:r>
              <w:rPr>
                <w:rFonts w:ascii="Aptos" w:hAnsi="Aptos"/>
                <w:b/>
                <w:color w:val="FFFFFF"/>
                <w:sz w:val="14"/>
              </w:rPr>
              <w:t>State</w:t>
            </w:r>
          </w:p>
        </w:tc>
        <w:tc>
          <w:tcPr>
            <w:tcW w:type="dxa" w:w="2091"/>
            <w:shd w:fill="5F259F"/>
            <w:tcMar>
              <w:top w:w="70" w:type="dxa"/>
              <w:start w:w="60" w:type="dxa"/>
              <w:bottom w:w="70" w:type="dxa"/>
              <w:end w:w="60" w:type="dxa"/>
            </w:tcMar>
          </w:tcPr>
          <w:p>
            <w:r>
              <w:rPr>
                <w:rFonts w:ascii="Aptos" w:hAnsi="Aptos"/>
                <w:b/>
                <w:color w:val="FFFFFF"/>
                <w:sz w:val="14"/>
              </w:rPr>
              <w:t>Tx/User Q2</w:t>
            </w:r>
          </w:p>
        </w:tc>
        <w:tc>
          <w:tcPr>
            <w:tcW w:type="dxa" w:w="2091"/>
            <w:shd w:fill="5F259F"/>
            <w:tcMar>
              <w:top w:w="70" w:type="dxa"/>
              <w:start w:w="60" w:type="dxa"/>
              <w:bottom w:w="70" w:type="dxa"/>
              <w:end w:w="60" w:type="dxa"/>
            </w:tcMar>
          </w:tcPr>
          <w:p>
            <w:r>
              <w:rPr>
                <w:rFonts w:ascii="Aptos" w:hAnsi="Aptos"/>
                <w:b/>
                <w:color w:val="FFFFFF"/>
                <w:sz w:val="14"/>
              </w:rPr>
              <w:t>Merchants/1k users</w:t>
            </w:r>
          </w:p>
        </w:tc>
        <w:tc>
          <w:tcPr>
            <w:tcW w:type="dxa" w:w="2091"/>
            <w:shd w:fill="5F259F"/>
            <w:tcMar>
              <w:top w:w="70" w:type="dxa"/>
              <w:start w:w="60" w:type="dxa"/>
              <w:bottom w:w="70" w:type="dxa"/>
              <w:end w:w="60" w:type="dxa"/>
            </w:tcMar>
          </w:tcPr>
          <w:p>
            <w:r>
              <w:rPr>
                <w:rFonts w:ascii="Aptos" w:hAnsi="Aptos"/>
                <w:b/>
                <w:color w:val="FFFFFF"/>
                <w:sz w:val="14"/>
              </w:rPr>
              <w:t>Modeled score</w:t>
            </w:r>
          </w:p>
        </w:tc>
        <w:tc>
          <w:tcPr>
            <w:tcW w:type="dxa" w:w="2091"/>
            <w:shd w:fill="5F259F"/>
            <w:tcMar>
              <w:top w:w="70" w:type="dxa"/>
              <w:start w:w="60" w:type="dxa"/>
              <w:bottom w:w="70" w:type="dxa"/>
              <w:end w:w="60" w:type="dxa"/>
            </w:tcMar>
          </w:tcPr>
          <w:p>
            <w:r>
              <w:rPr>
                <w:rFonts w:ascii="Aptos" w:hAnsi="Aptos"/>
                <w:b/>
                <w:color w:val="FFFFFF"/>
                <w:sz w:val="14"/>
              </w:rPr>
              <w:t>Read</w:t>
            </w:r>
          </w:p>
        </w:tc>
      </w:tr>
      <w:tr>
        <w:tc>
          <w:tcPr>
            <w:tcW w:type="dxa" w:w="2091"/>
            <w:tcMar>
              <w:top w:w="60" w:type="dxa"/>
              <w:start w:w="55" w:type="dxa"/>
              <w:bottom w:w="60" w:type="dxa"/>
              <w:end w:w="55" w:type="dxa"/>
            </w:tcMar>
          </w:tcPr>
          <w:p>
            <w:r>
              <w:rPr>
                <w:rFonts w:ascii="Aptos" w:hAnsi="Aptos"/>
                <w:b w:val="0"/>
                <w:color w:val="1A1033"/>
                <w:sz w:val="14"/>
              </w:rPr>
              <w:t>Uttar Pradesh</w:t>
            </w:r>
          </w:p>
        </w:tc>
        <w:tc>
          <w:tcPr>
            <w:tcW w:type="dxa" w:w="2091"/>
            <w:tcMar>
              <w:top w:w="60" w:type="dxa"/>
              <w:start w:w="55" w:type="dxa"/>
              <w:bottom w:w="60" w:type="dxa"/>
              <w:end w:w="55" w:type="dxa"/>
            </w:tcMar>
          </w:tcPr>
          <w:p>
            <w:r>
              <w:rPr>
                <w:rFonts w:ascii="Aptos" w:hAnsi="Aptos"/>
                <w:b w:val="0"/>
                <w:color w:val="1A1033"/>
                <w:sz w:val="14"/>
              </w:rPr>
              <w:t>40.5</w:t>
            </w:r>
          </w:p>
        </w:tc>
        <w:tc>
          <w:tcPr>
            <w:tcW w:type="dxa" w:w="2091"/>
            <w:tcMar>
              <w:top w:w="60" w:type="dxa"/>
              <w:start w:w="55" w:type="dxa"/>
              <w:bottom w:w="60" w:type="dxa"/>
              <w:end w:w="55" w:type="dxa"/>
            </w:tcMar>
          </w:tcPr>
          <w:p>
            <w:r>
              <w:rPr>
                <w:rFonts w:ascii="Aptos" w:hAnsi="Aptos"/>
                <w:b w:val="0"/>
                <w:color w:val="1A1033"/>
                <w:sz w:val="14"/>
              </w:rPr>
              <w:t>86.9</w:t>
            </w:r>
          </w:p>
        </w:tc>
        <w:tc>
          <w:tcPr>
            <w:tcW w:type="dxa" w:w="2091"/>
            <w:tcMar>
              <w:top w:w="60" w:type="dxa"/>
              <w:start w:w="55" w:type="dxa"/>
              <w:bottom w:w="60" w:type="dxa"/>
              <w:end w:w="55" w:type="dxa"/>
            </w:tcMar>
          </w:tcPr>
          <w:p>
            <w:r>
              <w:rPr>
                <w:rFonts w:ascii="Aptos" w:hAnsi="Aptos"/>
                <w:b w:val="0"/>
                <w:color w:val="1A1033"/>
                <w:sz w:val="14"/>
              </w:rPr>
              <w:t>100.0</w:t>
            </w:r>
          </w:p>
        </w:tc>
        <w:tc>
          <w:tcPr>
            <w:tcW w:type="dxa" w:w="2091"/>
            <w:tcMar>
              <w:top w:w="60" w:type="dxa"/>
              <w:start w:w="55" w:type="dxa"/>
              <w:bottom w:w="60" w:type="dxa"/>
              <w:end w:w="55" w:type="dxa"/>
            </w:tcMar>
          </w:tcPr>
          <w:p>
            <w:r>
              <w:rPr>
                <w:rFonts w:ascii="Aptos" w:hAnsi="Aptos"/>
                <w:b w:val="0"/>
                <w:color w:val="1A1033"/>
                <w:sz w:val="14"/>
              </w:rPr>
              <w:t>Activate at Scale</w:t>
            </w:r>
          </w:p>
        </w:tc>
      </w:tr>
      <w:tr>
        <w:tc>
          <w:tcPr>
            <w:tcW w:type="dxa" w:w="2091"/>
            <w:tcMar>
              <w:top w:w="60" w:type="dxa"/>
              <w:start w:w="55" w:type="dxa"/>
              <w:bottom w:w="60" w:type="dxa"/>
              <w:end w:w="55" w:type="dxa"/>
            </w:tcMar>
            <w:shd w:fill="F8F5FB"/>
          </w:tcPr>
          <w:p>
            <w:r>
              <w:rPr>
                <w:rFonts w:ascii="Aptos" w:hAnsi="Aptos"/>
                <w:b w:val="0"/>
                <w:color w:val="1A1033"/>
                <w:sz w:val="14"/>
              </w:rPr>
              <w:t>Maharashtra</w:t>
            </w:r>
          </w:p>
        </w:tc>
        <w:tc>
          <w:tcPr>
            <w:tcW w:type="dxa" w:w="2091"/>
            <w:tcMar>
              <w:top w:w="60" w:type="dxa"/>
              <w:start w:w="55" w:type="dxa"/>
              <w:bottom w:w="60" w:type="dxa"/>
              <w:end w:w="55" w:type="dxa"/>
            </w:tcMar>
            <w:shd w:fill="F8F5FB"/>
          </w:tcPr>
          <w:p>
            <w:r>
              <w:rPr>
                <w:rFonts w:ascii="Aptos" w:hAnsi="Aptos"/>
                <w:b w:val="0"/>
                <w:color w:val="1A1033"/>
                <w:sz w:val="14"/>
              </w:rPr>
              <w:t>60.2</w:t>
            </w:r>
          </w:p>
        </w:tc>
        <w:tc>
          <w:tcPr>
            <w:tcW w:type="dxa" w:w="2091"/>
            <w:tcMar>
              <w:top w:w="60" w:type="dxa"/>
              <w:start w:w="55" w:type="dxa"/>
              <w:bottom w:w="60" w:type="dxa"/>
              <w:end w:w="55" w:type="dxa"/>
            </w:tcMar>
            <w:shd w:fill="F8F5FB"/>
          </w:tcPr>
          <w:p>
            <w:r>
              <w:rPr>
                <w:rFonts w:ascii="Aptos" w:hAnsi="Aptos"/>
                <w:b w:val="0"/>
                <w:color w:val="1A1033"/>
                <w:sz w:val="14"/>
              </w:rPr>
              <w:t>72.7</w:t>
            </w:r>
          </w:p>
        </w:tc>
        <w:tc>
          <w:tcPr>
            <w:tcW w:type="dxa" w:w="2091"/>
            <w:tcMar>
              <w:top w:w="60" w:type="dxa"/>
              <w:start w:w="55" w:type="dxa"/>
              <w:bottom w:w="60" w:type="dxa"/>
              <w:end w:w="55" w:type="dxa"/>
            </w:tcMar>
            <w:shd w:fill="F8F5FB"/>
          </w:tcPr>
          <w:p>
            <w:r>
              <w:rPr>
                <w:rFonts w:ascii="Aptos" w:hAnsi="Aptos"/>
                <w:b w:val="0"/>
                <w:color w:val="1A1033"/>
                <w:sz w:val="14"/>
              </w:rPr>
              <w:t>69.9</w:t>
            </w:r>
          </w:p>
        </w:tc>
        <w:tc>
          <w:tcPr>
            <w:tcW w:type="dxa" w:w="2091"/>
            <w:tcMar>
              <w:top w:w="60" w:type="dxa"/>
              <w:start w:w="55" w:type="dxa"/>
              <w:bottom w:w="60" w:type="dxa"/>
              <w:end w:w="55" w:type="dxa"/>
            </w:tcMar>
            <w:shd w:fill="F8F5FB"/>
          </w:tcPr>
          <w:p>
            <w:r>
              <w:rPr>
                <w:rFonts w:ascii="Aptos" w:hAnsi="Aptos"/>
                <w:b w:val="0"/>
                <w:color w:val="1A1033"/>
                <w:sz w:val="14"/>
              </w:rPr>
              <w:t>Grow &amp; Deepen</w:t>
            </w:r>
          </w:p>
        </w:tc>
      </w:tr>
      <w:tr>
        <w:tc>
          <w:tcPr>
            <w:tcW w:type="dxa" w:w="2091"/>
            <w:tcMar>
              <w:top w:w="60" w:type="dxa"/>
              <w:start w:w="55" w:type="dxa"/>
              <w:bottom w:w="60" w:type="dxa"/>
              <w:end w:w="55" w:type="dxa"/>
            </w:tcMar>
          </w:tcPr>
          <w:p>
            <w:r>
              <w:rPr>
                <w:rFonts w:ascii="Aptos" w:hAnsi="Aptos"/>
                <w:b w:val="0"/>
                <w:color w:val="1A1033"/>
                <w:sz w:val="14"/>
              </w:rPr>
              <w:t>West Bengal</w:t>
            </w:r>
          </w:p>
        </w:tc>
        <w:tc>
          <w:tcPr>
            <w:tcW w:type="dxa" w:w="2091"/>
            <w:tcMar>
              <w:top w:w="60" w:type="dxa"/>
              <w:start w:w="55" w:type="dxa"/>
              <w:bottom w:w="60" w:type="dxa"/>
              <w:end w:w="55" w:type="dxa"/>
            </w:tcMar>
          </w:tcPr>
          <w:p>
            <w:r>
              <w:rPr>
                <w:rFonts w:ascii="Aptos" w:hAnsi="Aptos"/>
                <w:b w:val="0"/>
                <w:color w:val="1A1033"/>
                <w:sz w:val="14"/>
              </w:rPr>
              <w:t>41.2</w:t>
            </w:r>
          </w:p>
        </w:tc>
        <w:tc>
          <w:tcPr>
            <w:tcW w:type="dxa" w:w="2091"/>
            <w:tcMar>
              <w:top w:w="60" w:type="dxa"/>
              <w:start w:w="55" w:type="dxa"/>
              <w:bottom w:w="60" w:type="dxa"/>
              <w:end w:w="55" w:type="dxa"/>
            </w:tcMar>
          </w:tcPr>
          <w:p>
            <w:r>
              <w:rPr>
                <w:rFonts w:ascii="Aptos" w:hAnsi="Aptos"/>
                <w:b w:val="0"/>
                <w:color w:val="1A1033"/>
                <w:sz w:val="14"/>
              </w:rPr>
              <w:t>83.9</w:t>
            </w:r>
          </w:p>
        </w:tc>
        <w:tc>
          <w:tcPr>
            <w:tcW w:type="dxa" w:w="2091"/>
            <w:tcMar>
              <w:top w:w="60" w:type="dxa"/>
              <w:start w:w="55" w:type="dxa"/>
              <w:bottom w:w="60" w:type="dxa"/>
              <w:end w:w="55" w:type="dxa"/>
            </w:tcMar>
          </w:tcPr>
          <w:p>
            <w:r>
              <w:rPr>
                <w:rFonts w:ascii="Aptos" w:hAnsi="Aptos"/>
                <w:b w:val="0"/>
                <w:color w:val="1A1033"/>
                <w:sz w:val="14"/>
              </w:rPr>
              <w:t>61.6</w:t>
            </w:r>
          </w:p>
        </w:tc>
        <w:tc>
          <w:tcPr>
            <w:tcW w:type="dxa" w:w="2091"/>
            <w:tcMar>
              <w:top w:w="60" w:type="dxa"/>
              <w:start w:w="55" w:type="dxa"/>
              <w:bottom w:w="60" w:type="dxa"/>
              <w:end w:w="55" w:type="dxa"/>
            </w:tcMar>
          </w:tcPr>
          <w:p>
            <w:r>
              <w:rPr>
                <w:rFonts w:ascii="Aptos" w:hAnsi="Aptos"/>
                <w:b w:val="0"/>
                <w:color w:val="1A1033"/>
                <w:sz w:val="14"/>
              </w:rPr>
              <w:t>Merchant Engagement</w:t>
            </w:r>
          </w:p>
        </w:tc>
      </w:tr>
      <w:tr>
        <w:tc>
          <w:tcPr>
            <w:tcW w:type="dxa" w:w="2091"/>
            <w:tcMar>
              <w:top w:w="60" w:type="dxa"/>
              <w:start w:w="55" w:type="dxa"/>
              <w:bottom w:w="60" w:type="dxa"/>
              <w:end w:w="55" w:type="dxa"/>
            </w:tcMar>
            <w:shd w:fill="F8F5FB"/>
          </w:tcPr>
          <w:p>
            <w:r>
              <w:rPr>
                <w:rFonts w:ascii="Aptos" w:hAnsi="Aptos"/>
                <w:b w:val="0"/>
                <w:color w:val="1A1033"/>
                <w:sz w:val="14"/>
              </w:rPr>
              <w:t>Madhya Pradesh</w:t>
            </w:r>
          </w:p>
        </w:tc>
        <w:tc>
          <w:tcPr>
            <w:tcW w:type="dxa" w:w="2091"/>
            <w:tcMar>
              <w:top w:w="60" w:type="dxa"/>
              <w:start w:w="55" w:type="dxa"/>
              <w:bottom w:w="60" w:type="dxa"/>
              <w:end w:w="55" w:type="dxa"/>
            </w:tcMar>
            <w:shd w:fill="F8F5FB"/>
          </w:tcPr>
          <w:p>
            <w:r>
              <w:rPr>
                <w:rFonts w:ascii="Aptos" w:hAnsi="Aptos"/>
                <w:b w:val="0"/>
                <w:color w:val="1A1033"/>
                <w:sz w:val="14"/>
              </w:rPr>
              <w:t>57.0</w:t>
            </w:r>
          </w:p>
        </w:tc>
        <w:tc>
          <w:tcPr>
            <w:tcW w:type="dxa" w:w="2091"/>
            <w:tcMar>
              <w:top w:w="60" w:type="dxa"/>
              <w:start w:w="55" w:type="dxa"/>
              <w:bottom w:w="60" w:type="dxa"/>
              <w:end w:w="55" w:type="dxa"/>
            </w:tcMar>
            <w:shd w:fill="F8F5FB"/>
          </w:tcPr>
          <w:p>
            <w:r>
              <w:rPr>
                <w:rFonts w:ascii="Aptos" w:hAnsi="Aptos"/>
                <w:b w:val="0"/>
                <w:color w:val="1A1033"/>
                <w:sz w:val="14"/>
              </w:rPr>
              <w:t>78.4</w:t>
            </w:r>
          </w:p>
        </w:tc>
        <w:tc>
          <w:tcPr>
            <w:tcW w:type="dxa" w:w="2091"/>
            <w:tcMar>
              <w:top w:w="60" w:type="dxa"/>
              <w:start w:w="55" w:type="dxa"/>
              <w:bottom w:w="60" w:type="dxa"/>
              <w:end w:w="55" w:type="dxa"/>
            </w:tcMar>
            <w:shd w:fill="F8F5FB"/>
          </w:tcPr>
          <w:p>
            <w:r>
              <w:rPr>
                <w:rFonts w:ascii="Aptos" w:hAnsi="Aptos"/>
                <w:b w:val="0"/>
                <w:color w:val="1A1033"/>
                <w:sz w:val="14"/>
              </w:rPr>
              <w:t>45.1</w:t>
            </w:r>
          </w:p>
        </w:tc>
        <w:tc>
          <w:tcPr>
            <w:tcW w:type="dxa" w:w="2091"/>
            <w:tcMar>
              <w:top w:w="60" w:type="dxa"/>
              <w:start w:w="55" w:type="dxa"/>
              <w:bottom w:w="60" w:type="dxa"/>
              <w:end w:w="55" w:type="dxa"/>
            </w:tcMar>
            <w:shd w:fill="F8F5FB"/>
          </w:tcPr>
          <w:p>
            <w:r>
              <w:rPr>
                <w:rFonts w:ascii="Aptos" w:hAnsi="Aptos"/>
                <w:b w:val="0"/>
                <w:color w:val="1A1033"/>
                <w:sz w:val="14"/>
              </w:rPr>
              <w:t>Grow &amp; Deepen</w:t>
            </w:r>
          </w:p>
        </w:tc>
      </w:tr>
      <w:tr>
        <w:tc>
          <w:tcPr>
            <w:tcW w:type="dxa" w:w="2091"/>
            <w:tcMar>
              <w:top w:w="60" w:type="dxa"/>
              <w:start w:w="55" w:type="dxa"/>
              <w:bottom w:w="60" w:type="dxa"/>
              <w:end w:w="55" w:type="dxa"/>
            </w:tcMar>
          </w:tcPr>
          <w:p>
            <w:r>
              <w:rPr>
                <w:rFonts w:ascii="Aptos" w:hAnsi="Aptos"/>
                <w:b w:val="0"/>
                <w:color w:val="1A1033"/>
                <w:sz w:val="14"/>
              </w:rPr>
              <w:t>Rajasthan</w:t>
            </w:r>
          </w:p>
        </w:tc>
        <w:tc>
          <w:tcPr>
            <w:tcW w:type="dxa" w:w="2091"/>
            <w:tcMar>
              <w:top w:w="60" w:type="dxa"/>
              <w:start w:w="55" w:type="dxa"/>
              <w:bottom w:w="60" w:type="dxa"/>
              <w:end w:w="55" w:type="dxa"/>
            </w:tcMar>
          </w:tcPr>
          <w:p>
            <w:r>
              <w:rPr>
                <w:rFonts w:ascii="Aptos" w:hAnsi="Aptos"/>
                <w:b w:val="0"/>
                <w:color w:val="1A1033"/>
                <w:sz w:val="14"/>
              </w:rPr>
              <w:t>58.4</w:t>
            </w:r>
          </w:p>
        </w:tc>
        <w:tc>
          <w:tcPr>
            <w:tcW w:type="dxa" w:w="2091"/>
            <w:tcMar>
              <w:top w:w="60" w:type="dxa"/>
              <w:start w:w="55" w:type="dxa"/>
              <w:bottom w:w="60" w:type="dxa"/>
              <w:end w:w="55" w:type="dxa"/>
            </w:tcMar>
          </w:tcPr>
          <w:p>
            <w:r>
              <w:rPr>
                <w:rFonts w:ascii="Aptos" w:hAnsi="Aptos"/>
                <w:b w:val="0"/>
                <w:color w:val="1A1033"/>
                <w:sz w:val="14"/>
              </w:rPr>
              <w:t>75.9</w:t>
            </w:r>
          </w:p>
        </w:tc>
        <w:tc>
          <w:tcPr>
            <w:tcW w:type="dxa" w:w="2091"/>
            <w:tcMar>
              <w:top w:w="60" w:type="dxa"/>
              <w:start w:w="55" w:type="dxa"/>
              <w:bottom w:w="60" w:type="dxa"/>
              <w:end w:w="55" w:type="dxa"/>
            </w:tcMar>
          </w:tcPr>
          <w:p>
            <w:r>
              <w:rPr>
                <w:rFonts w:ascii="Aptos" w:hAnsi="Aptos"/>
                <w:b w:val="0"/>
                <w:color w:val="1A1033"/>
                <w:sz w:val="14"/>
              </w:rPr>
              <w:t>44.3</w:t>
            </w:r>
          </w:p>
        </w:tc>
        <w:tc>
          <w:tcPr>
            <w:tcW w:type="dxa" w:w="2091"/>
            <w:tcMar>
              <w:top w:w="60" w:type="dxa"/>
              <w:start w:w="55" w:type="dxa"/>
              <w:bottom w:w="60" w:type="dxa"/>
              <w:end w:w="55" w:type="dxa"/>
            </w:tcMar>
          </w:tcPr>
          <w:p>
            <w:r>
              <w:rPr>
                <w:rFonts w:ascii="Aptos" w:hAnsi="Aptos"/>
                <w:b w:val="0"/>
                <w:color w:val="1A1033"/>
                <w:sz w:val="14"/>
              </w:rPr>
              <w:t>Grow &amp; Deepen</w:t>
            </w:r>
          </w:p>
        </w:tc>
      </w:tr>
      <w:tr>
        <w:tc>
          <w:tcPr>
            <w:tcW w:type="dxa" w:w="2091"/>
            <w:tcMar>
              <w:top w:w="60" w:type="dxa"/>
              <w:start w:w="55" w:type="dxa"/>
              <w:bottom w:w="60" w:type="dxa"/>
              <w:end w:w="55" w:type="dxa"/>
            </w:tcMar>
            <w:shd w:fill="F8F5FB"/>
          </w:tcPr>
          <w:p>
            <w:r>
              <w:rPr>
                <w:rFonts w:ascii="Aptos" w:hAnsi="Aptos"/>
                <w:b w:val="0"/>
                <w:color w:val="1A1033"/>
                <w:sz w:val="14"/>
              </w:rPr>
              <w:t>Bihar</w:t>
            </w:r>
          </w:p>
        </w:tc>
        <w:tc>
          <w:tcPr>
            <w:tcW w:type="dxa" w:w="2091"/>
            <w:tcMar>
              <w:top w:w="60" w:type="dxa"/>
              <w:start w:w="55" w:type="dxa"/>
              <w:bottom w:w="60" w:type="dxa"/>
              <w:end w:w="55" w:type="dxa"/>
            </w:tcMar>
            <w:shd w:fill="F8F5FB"/>
          </w:tcPr>
          <w:p>
            <w:r>
              <w:rPr>
                <w:rFonts w:ascii="Aptos" w:hAnsi="Aptos"/>
                <w:b w:val="0"/>
                <w:color w:val="1A1033"/>
                <w:sz w:val="14"/>
              </w:rPr>
              <w:t>51.1</w:t>
            </w:r>
          </w:p>
        </w:tc>
        <w:tc>
          <w:tcPr>
            <w:tcW w:type="dxa" w:w="2091"/>
            <w:tcMar>
              <w:top w:w="60" w:type="dxa"/>
              <w:start w:w="55" w:type="dxa"/>
              <w:bottom w:w="60" w:type="dxa"/>
              <w:end w:w="55" w:type="dxa"/>
            </w:tcMar>
            <w:shd w:fill="F8F5FB"/>
          </w:tcPr>
          <w:p>
            <w:r>
              <w:rPr>
                <w:rFonts w:ascii="Aptos" w:hAnsi="Aptos"/>
                <w:b w:val="0"/>
                <w:color w:val="1A1033"/>
                <w:sz w:val="14"/>
              </w:rPr>
              <w:t>68.7</w:t>
            </w:r>
          </w:p>
        </w:tc>
        <w:tc>
          <w:tcPr>
            <w:tcW w:type="dxa" w:w="2091"/>
            <w:tcMar>
              <w:top w:w="60" w:type="dxa"/>
              <w:start w:w="55" w:type="dxa"/>
              <w:bottom w:w="60" w:type="dxa"/>
              <w:end w:w="55" w:type="dxa"/>
            </w:tcMar>
            <w:shd w:fill="F8F5FB"/>
          </w:tcPr>
          <w:p>
            <w:r>
              <w:rPr>
                <w:rFonts w:ascii="Aptos" w:hAnsi="Aptos"/>
                <w:b w:val="0"/>
                <w:color w:val="1A1033"/>
                <w:sz w:val="14"/>
              </w:rPr>
              <w:t>41.5</w:t>
            </w:r>
          </w:p>
        </w:tc>
        <w:tc>
          <w:tcPr>
            <w:tcW w:type="dxa" w:w="2091"/>
            <w:tcMar>
              <w:top w:w="60" w:type="dxa"/>
              <w:start w:w="55" w:type="dxa"/>
              <w:bottom w:w="60" w:type="dxa"/>
              <w:end w:w="55" w:type="dxa"/>
            </w:tcMar>
            <w:shd w:fill="F8F5FB"/>
          </w:tcPr>
          <w:p>
            <w:r>
              <w:rPr>
                <w:rFonts w:ascii="Aptos" w:hAnsi="Aptos"/>
                <w:b w:val="0"/>
                <w:color w:val="1A1033"/>
                <w:sz w:val="14"/>
              </w:rPr>
              <w:t>Grow &amp; Deepen</w:t>
            </w:r>
          </w:p>
        </w:tc>
      </w:tr>
      <w:tr>
        <w:tc>
          <w:tcPr>
            <w:tcW w:type="dxa" w:w="2091"/>
            <w:tcMar>
              <w:top w:w="60" w:type="dxa"/>
              <w:start w:w="55" w:type="dxa"/>
              <w:bottom w:w="60" w:type="dxa"/>
              <w:end w:w="55" w:type="dxa"/>
            </w:tcMar>
          </w:tcPr>
          <w:p>
            <w:r>
              <w:rPr>
                <w:rFonts w:ascii="Aptos" w:hAnsi="Aptos"/>
                <w:b w:val="0"/>
                <w:color w:val="1A1033"/>
                <w:sz w:val="14"/>
              </w:rPr>
              <w:t>Karnataka</w:t>
            </w:r>
          </w:p>
        </w:tc>
        <w:tc>
          <w:tcPr>
            <w:tcW w:type="dxa" w:w="2091"/>
            <w:tcMar>
              <w:top w:w="60" w:type="dxa"/>
              <w:start w:w="55" w:type="dxa"/>
              <w:bottom w:w="60" w:type="dxa"/>
              <w:end w:w="55" w:type="dxa"/>
            </w:tcMar>
          </w:tcPr>
          <w:p>
            <w:r>
              <w:rPr>
                <w:rFonts w:ascii="Aptos" w:hAnsi="Aptos"/>
                <w:b w:val="0"/>
                <w:color w:val="1A1033"/>
                <w:sz w:val="14"/>
              </w:rPr>
              <w:t>85.5</w:t>
            </w:r>
          </w:p>
        </w:tc>
        <w:tc>
          <w:tcPr>
            <w:tcW w:type="dxa" w:w="2091"/>
            <w:tcMar>
              <w:top w:w="60" w:type="dxa"/>
              <w:start w:w="55" w:type="dxa"/>
              <w:bottom w:w="60" w:type="dxa"/>
              <w:end w:w="55" w:type="dxa"/>
            </w:tcMar>
          </w:tcPr>
          <w:p>
            <w:r>
              <w:rPr>
                <w:rFonts w:ascii="Aptos" w:hAnsi="Aptos"/>
                <w:b w:val="0"/>
                <w:color w:val="1A1033"/>
                <w:sz w:val="14"/>
              </w:rPr>
              <w:t>62.9</w:t>
            </w:r>
          </w:p>
        </w:tc>
        <w:tc>
          <w:tcPr>
            <w:tcW w:type="dxa" w:w="2091"/>
            <w:tcMar>
              <w:top w:w="60" w:type="dxa"/>
              <w:start w:w="55" w:type="dxa"/>
              <w:bottom w:w="60" w:type="dxa"/>
              <w:end w:w="55" w:type="dxa"/>
            </w:tcMar>
          </w:tcPr>
          <w:p>
            <w:r>
              <w:rPr>
                <w:rFonts w:ascii="Aptos" w:hAnsi="Aptos"/>
                <w:b w:val="0"/>
                <w:color w:val="1A1033"/>
                <w:sz w:val="14"/>
              </w:rPr>
              <w:t>22.9</w:t>
            </w:r>
          </w:p>
        </w:tc>
        <w:tc>
          <w:tcPr>
            <w:tcW w:type="dxa" w:w="2091"/>
            <w:tcMar>
              <w:top w:w="60" w:type="dxa"/>
              <w:start w:w="55" w:type="dxa"/>
              <w:bottom w:w="60" w:type="dxa"/>
              <w:end w:w="55" w:type="dxa"/>
            </w:tcMar>
          </w:tcPr>
          <w:p>
            <w:r>
              <w:rPr>
                <w:rFonts w:ascii="Aptos" w:hAnsi="Aptos"/>
                <w:b w:val="0"/>
                <w:color w:val="1A1033"/>
                <w:sz w:val="14"/>
              </w:rPr>
              <w:t>Defend &amp; Monetize</w:t>
            </w:r>
          </w:p>
        </w:tc>
      </w:tr>
      <w:tr>
        <w:tc>
          <w:tcPr>
            <w:tcW w:type="dxa" w:w="2091"/>
            <w:tcMar>
              <w:top w:w="60" w:type="dxa"/>
              <w:start w:w="55" w:type="dxa"/>
              <w:bottom w:w="60" w:type="dxa"/>
              <w:end w:w="55" w:type="dxa"/>
            </w:tcMar>
            <w:shd w:fill="F8F5FB"/>
          </w:tcPr>
          <w:p>
            <w:r>
              <w:rPr>
                <w:rFonts w:ascii="Aptos" w:hAnsi="Aptos"/>
                <w:b w:val="0"/>
                <w:color w:val="1A1033"/>
                <w:sz w:val="14"/>
              </w:rPr>
              <w:t>Telangana</w:t>
            </w:r>
          </w:p>
        </w:tc>
        <w:tc>
          <w:tcPr>
            <w:tcW w:type="dxa" w:w="2091"/>
            <w:tcMar>
              <w:top w:w="60" w:type="dxa"/>
              <w:start w:w="55" w:type="dxa"/>
              <w:bottom w:w="60" w:type="dxa"/>
              <w:end w:w="55" w:type="dxa"/>
            </w:tcMar>
            <w:shd w:fill="F8F5FB"/>
          </w:tcPr>
          <w:p>
            <w:r>
              <w:rPr>
                <w:rFonts w:ascii="Aptos" w:hAnsi="Aptos"/>
                <w:b w:val="0"/>
                <w:color w:val="1A1033"/>
                <w:sz w:val="14"/>
              </w:rPr>
              <w:t>106.3</w:t>
            </w:r>
          </w:p>
        </w:tc>
        <w:tc>
          <w:tcPr>
            <w:tcW w:type="dxa" w:w="2091"/>
            <w:tcMar>
              <w:top w:w="60" w:type="dxa"/>
              <w:start w:w="55" w:type="dxa"/>
              <w:bottom w:w="60" w:type="dxa"/>
              <w:end w:w="55" w:type="dxa"/>
            </w:tcMar>
            <w:shd w:fill="F8F5FB"/>
          </w:tcPr>
          <w:p>
            <w:r>
              <w:rPr>
                <w:rFonts w:ascii="Aptos" w:hAnsi="Aptos"/>
                <w:b w:val="0"/>
                <w:color w:val="1A1033"/>
                <w:sz w:val="14"/>
              </w:rPr>
              <w:t>68.0</w:t>
            </w:r>
          </w:p>
        </w:tc>
        <w:tc>
          <w:tcPr>
            <w:tcW w:type="dxa" w:w="2091"/>
            <w:tcMar>
              <w:top w:w="60" w:type="dxa"/>
              <w:start w:w="55" w:type="dxa"/>
              <w:bottom w:w="60" w:type="dxa"/>
              <w:end w:w="55" w:type="dxa"/>
            </w:tcMar>
            <w:shd w:fill="F8F5FB"/>
          </w:tcPr>
          <w:p>
            <w:r>
              <w:rPr>
                <w:rFonts w:ascii="Aptos" w:hAnsi="Aptos"/>
                <w:b w:val="0"/>
                <w:color w:val="1A1033"/>
                <w:sz w:val="14"/>
              </w:rPr>
              <w:t>5.3</w:t>
            </w:r>
          </w:p>
        </w:tc>
        <w:tc>
          <w:tcPr>
            <w:tcW w:type="dxa" w:w="2091"/>
            <w:tcMar>
              <w:top w:w="60" w:type="dxa"/>
              <w:start w:w="55" w:type="dxa"/>
              <w:bottom w:w="60" w:type="dxa"/>
              <w:end w:w="55" w:type="dxa"/>
            </w:tcMar>
            <w:shd w:fill="F8F5FB"/>
          </w:tcPr>
          <w:p>
            <w:r>
              <w:rPr>
                <w:rFonts w:ascii="Aptos" w:hAnsi="Aptos"/>
                <w:b w:val="0"/>
                <w:color w:val="1A1033"/>
                <w:sz w:val="14"/>
              </w:rPr>
              <w:t>Defend &amp; Monetize</w:t>
            </w:r>
          </w:p>
        </w:tc>
      </w:tr>
    </w:tbl>
    <w:p>
      <w:pPr>
        <w:spacing w:after="40"/>
      </w:pPr>
    </w:p>
    <w:p>
      <w:r>
        <w:br w:type="page"/>
      </w:r>
    </w:p>
    <w:p>
      <w:r>
        <w:rPr>
          <w:rFonts w:ascii="Aptos" w:hAnsi="Aptos"/>
          <w:b/>
          <w:color w:val="5F259F"/>
          <w:sz w:val="48"/>
        </w:rPr>
        <w:t>10  Activation Opportunity Index</w:t>
      </w:r>
    </w:p>
    <w:p>
      <w:r>
        <w:rPr>
          <w:rFonts w:ascii="Aptos" w:hAnsi="Aptos"/>
          <w:b w:val="0"/>
          <w:color w:val="5F6470"/>
          <w:sz w:val="22"/>
        </w:rPr>
        <w:t>A decision framework, not a company metric.</w:t>
      </w:r>
    </w:p>
    <w:p>
      <w:pPr>
        <w:jc w:val="center"/>
      </w:pPr>
      <w:r>
        <w:drawing>
          <wp:inline xmlns:a="http://schemas.openxmlformats.org/drawingml/2006/main" xmlns:pic="http://schemas.openxmlformats.org/drawingml/2006/picture">
            <wp:extent cx="5989320" cy="3789683"/>
            <wp:docPr id="9" name="Picture 9"/>
            <wp:cNvGraphicFramePr>
              <a:graphicFrameLocks noChangeAspect="1"/>
            </wp:cNvGraphicFramePr>
            <a:graphic>
              <a:graphicData uri="http://schemas.openxmlformats.org/drawingml/2006/picture">
                <pic:pic>
                  <pic:nvPicPr>
                    <pic:cNvPr id="0" name="activation_score.png"/>
                    <pic:cNvPicPr/>
                  </pic:nvPicPr>
                  <pic:blipFill>
                    <a:blip r:embed="rId18"/>
                    <a:stretch>
                      <a:fillRect/>
                    </a:stretch>
                  </pic:blipFill>
                  <pic:spPr>
                    <a:xfrm>
                      <a:off x="0" y="0"/>
                      <a:ext cx="5989320" cy="3789683"/>
                    </a:xfrm>
                    <a:prstGeom prst="rect"/>
                  </pic:spPr>
                </pic:pic>
              </a:graphicData>
            </a:graphic>
          </wp:inline>
        </w:drawing>
      </w:r>
    </w:p>
    <w:p>
      <w:pPr>
        <w:jc w:val="center"/>
      </w:pPr>
      <w:r>
        <w:rPr>
          <w:rFonts w:ascii="Aptos" w:hAnsi="Aptos"/>
          <w:b w:val="0"/>
          <w:color w:val="5F6470"/>
          <w:sz w:val="14"/>
        </w:rPr>
        <w:t>MODELED score = 40% user scale + 35% inverse transaction intensity + 25% merchant density, normalized within the displayed top-state sample.</w:t>
      </w:r>
    </w:p>
    <w:p>
      <w:pPr>
        <w:pStyle w:val="ListBullet"/>
        <w:spacing w:after="40"/>
        <w:ind w:left="259"/>
      </w:pPr>
      <w:r>
        <w:rPr>
          <w:rFonts w:ascii="Aptos" w:hAnsi="Aptos"/>
          <w:b w:val="0"/>
          <w:color w:val="1A1033"/>
          <w:sz w:val="18"/>
        </w:rPr>
        <w:t>Uttar Pradesh: very large registered user and merchant base with comparatively low Q2 transaction intensity → activation-at-scale.</w:t>
      </w:r>
    </w:p>
    <w:p>
      <w:pPr>
        <w:pStyle w:val="ListBullet"/>
        <w:spacing w:after="40"/>
        <w:ind w:left="259"/>
      </w:pPr>
      <w:r>
        <w:rPr>
          <w:rFonts w:ascii="Aptos" w:hAnsi="Aptos"/>
          <w:b w:val="0"/>
          <w:color w:val="1A1033"/>
          <w:sz w:val="18"/>
        </w:rPr>
        <w:t>West Bengal: high registered merchant density but lower activity intensity → merchant engagement focus.</w:t>
      </w:r>
    </w:p>
    <w:p>
      <w:pPr>
        <w:pStyle w:val="ListBullet"/>
        <w:spacing w:after="40"/>
        <w:ind w:left="259"/>
      </w:pPr>
      <w:r>
        <w:rPr>
          <w:rFonts w:ascii="Aptos" w:hAnsi="Aptos"/>
          <w:b w:val="0"/>
          <w:color w:val="1A1033"/>
          <w:sz w:val="18"/>
        </w:rPr>
        <w:t>Telangana and Karnataka: very high observed transaction intensity → defend, deepen and monetize.</w:t>
      </w:r>
    </w:p>
    <w:p>
      <w:pPr>
        <w:pStyle w:val="ListBullet"/>
        <w:spacing w:after="40"/>
        <w:ind w:left="259"/>
      </w:pPr>
      <w:r>
        <w:rPr>
          <w:rFonts w:ascii="Aptos" w:hAnsi="Aptos"/>
          <w:b w:val="0"/>
          <w:color w:val="1A1033"/>
          <w:sz w:val="18"/>
        </w:rPr>
        <w:t>Maharashtra: scale + meaningful intensity → defend network, selectively deepen monetization.</w:t>
      </w:r>
    </w:p>
    <w:tbl>
      <w:tblPr>
        <w:tblW w:type="auto" w:w="0"/>
        <w:tblLook w:firstColumn="1" w:firstRow="1" w:lastColumn="0" w:lastRow="0" w:noHBand="0" w:noVBand="1" w:val="04A0"/>
      </w:tblPr>
      <w:tblGrid>
        <w:gridCol w:w="10454"/>
      </w:tblGrid>
      <w:tr>
        <w:tc>
          <w:tcPr>
            <w:tcW w:type="dxa" w:w="10454"/>
            <w:shd w:fill="F5F0FA"/>
            <w:tcMar>
              <w:top w:w="130" w:type="dxa"/>
              <w:start w:w="150" w:type="dxa"/>
              <w:bottom w:w="130" w:type="dxa"/>
              <w:end w:w="150" w:type="dxa"/>
            </w:tcMar>
          </w:tcPr>
          <w:p>
            <w:r>
              <w:rPr>
                <w:rFonts w:ascii="Aptos" w:hAnsi="Aptos"/>
                <w:b/>
                <w:color w:val="5F259F"/>
                <w:sz w:val="19"/>
              </w:rPr>
              <w:t xml:space="preserve">WHAT INTERNAL DATA WOULD IMPROVE THIS  </w:t>
            </w:r>
            <w:r>
              <w:rPr>
                <w:rFonts w:ascii="Aptos" w:hAnsi="Aptos"/>
                <w:b w:val="0"/>
                <w:color w:val="1A1033"/>
                <w:sz w:val="18"/>
              </w:rPr>
              <w:t>Replace LTD-base ratios with MAC/MAM, cohort retention, contribution/revenue per active relationship, acquisition cost, merchant category, success rate and district-level competitive density.</w:t>
            </w:r>
          </w:p>
        </w:tc>
      </w:tr>
    </w:tbl>
    <w:p>
      <w:pPr>
        <w:spacing w:after="20"/>
      </w:pPr>
    </w:p>
    <w:p>
      <w:r>
        <w:br w:type="page"/>
      </w:r>
    </w:p>
    <w:p>
      <w:r>
        <w:rPr>
          <w:rFonts w:ascii="Aptos" w:hAnsi="Aptos"/>
          <w:b/>
          <w:color w:val="5F259F"/>
          <w:sz w:val="48"/>
        </w:rPr>
        <w:t>11  Merchant Activation Funnel</w:t>
      </w:r>
    </w:p>
    <w:p>
      <w:r>
        <w:rPr>
          <w:rFonts w:ascii="Aptos" w:hAnsi="Aptos"/>
          <w:b w:val="0"/>
          <w:color w:val="5F6470"/>
          <w:sz w:val="22"/>
        </w:rPr>
        <w:t>Public aggregate data cannot answer funnel questions, so the project includes a synthetic analytics layer.</w:t>
      </w:r>
    </w:p>
    <w:p>
      <w:pPr>
        <w:jc w:val="center"/>
      </w:pPr>
      <w:r>
        <w:drawing>
          <wp:inline xmlns:a="http://schemas.openxmlformats.org/drawingml/2006/main" xmlns:pic="http://schemas.openxmlformats.org/drawingml/2006/picture">
            <wp:extent cx="5989320" cy="3549670"/>
            <wp:docPr id="10" name="Picture 10"/>
            <wp:cNvGraphicFramePr>
              <a:graphicFrameLocks noChangeAspect="1"/>
            </wp:cNvGraphicFramePr>
            <a:graphic>
              <a:graphicData uri="http://schemas.openxmlformats.org/drawingml/2006/picture">
                <pic:pic>
                  <pic:nvPicPr>
                    <pic:cNvPr id="0" name="modeled_funnel.png"/>
                    <pic:cNvPicPr/>
                  </pic:nvPicPr>
                  <pic:blipFill>
                    <a:blip r:embed="rId19"/>
                    <a:stretch>
                      <a:fillRect/>
                    </a:stretch>
                  </pic:blipFill>
                  <pic:spPr>
                    <a:xfrm>
                      <a:off x="0" y="0"/>
                      <a:ext cx="5989320" cy="3549670"/>
                    </a:xfrm>
                    <a:prstGeom prst="rect"/>
                  </pic:spPr>
                </pic:pic>
              </a:graphicData>
            </a:graphic>
          </wp:inline>
        </w:drawing>
      </w:r>
    </w:p>
    <w:p>
      <w:pPr>
        <w:jc w:val="center"/>
      </w:pPr>
      <w:r>
        <w:rPr>
          <w:rFonts w:ascii="Aptos" w:hAnsi="Aptos"/>
          <w:b w:val="0"/>
          <w:color w:val="5F6470"/>
          <w:sz w:val="14"/>
        </w:rPr>
        <w:t>MODELED: illustrative funnel only. No PhonePe internal conversion rates are claimed.</w:t>
      </w:r>
    </w:p>
    <w:p>
      <w:pPr>
        <w:spacing w:after="80" w:line="259" w:lineRule="auto"/>
      </w:pPr>
      <w:r>
        <w:rPr>
          <w:rFonts w:ascii="Aptos" w:hAnsi="Aptos"/>
          <w:b w:val="0"/>
          <w:color w:val="1A1033"/>
          <w:sz w:val="19"/>
        </w:rPr>
        <w:t>The analytical objective is to locate the first stage where meaningful network value fails to materialize. A merchant QR on a wall is not equivalent to an active merchant; a first transaction is not equivalent to retention.</w:t>
      </w:r>
    </w:p>
    <w:p>
      <w:pPr>
        <w:pStyle w:val="Heading2"/>
        <w:spacing w:before="120" w:after="80"/>
      </w:pPr>
      <w:r>
        <w:rPr>
          <w:rFonts w:ascii="Aptos" w:hAnsi="Aptos"/>
          <w:b/>
          <w:color w:val="1A1033"/>
          <w:sz w:val="24"/>
        </w:rPr>
        <w:t>Diagnostic cuts</w:t>
      </w:r>
    </w:p>
    <w:p>
      <w:pPr>
        <w:pStyle w:val="ListBullet"/>
        <w:spacing w:after="40"/>
        <w:ind w:left="259"/>
      </w:pPr>
      <w:r>
        <w:rPr>
          <w:rFonts w:ascii="Aptos" w:hAnsi="Aptos"/>
          <w:b w:val="0"/>
          <w:color w:val="1A1033"/>
          <w:sz w:val="18"/>
        </w:rPr>
        <w:t>acquisition channel × business category</w:t>
      </w:r>
    </w:p>
    <w:p>
      <w:pPr>
        <w:pStyle w:val="ListBullet"/>
        <w:spacing w:after="40"/>
        <w:ind w:left="259"/>
      </w:pPr>
      <w:r>
        <w:rPr>
          <w:rFonts w:ascii="Aptos" w:hAnsi="Aptos"/>
          <w:b w:val="0"/>
          <w:color w:val="1A1033"/>
          <w:sz w:val="18"/>
        </w:rPr>
        <w:t>state × city tier</w:t>
      </w:r>
    </w:p>
    <w:p>
      <w:pPr>
        <w:pStyle w:val="ListBullet"/>
        <w:spacing w:after="40"/>
        <w:ind w:left="259"/>
      </w:pPr>
      <w:r>
        <w:rPr>
          <w:rFonts w:ascii="Aptos" w:hAnsi="Aptos"/>
          <w:b w:val="0"/>
          <w:color w:val="1A1033"/>
          <w:sz w:val="18"/>
        </w:rPr>
        <w:t>time-to-first-transaction</w:t>
      </w:r>
    </w:p>
    <w:p>
      <w:pPr>
        <w:pStyle w:val="ListBullet"/>
        <w:spacing w:after="40"/>
        <w:ind w:left="259"/>
      </w:pPr>
      <w:r>
        <w:rPr>
          <w:rFonts w:ascii="Aptos" w:hAnsi="Aptos"/>
          <w:b w:val="0"/>
          <w:color w:val="1A1033"/>
          <w:sz w:val="18"/>
        </w:rPr>
        <w:t>first-7-day transaction count</w:t>
      </w:r>
    </w:p>
    <w:p>
      <w:pPr>
        <w:pStyle w:val="ListBullet"/>
        <w:spacing w:after="40"/>
        <w:ind w:left="259"/>
      </w:pPr>
      <w:r>
        <w:rPr>
          <w:rFonts w:ascii="Aptos" w:hAnsi="Aptos"/>
          <w:b w:val="0"/>
          <w:color w:val="1A1033"/>
          <w:sz w:val="18"/>
        </w:rPr>
        <w:t>D30/D90 retention</w:t>
      </w:r>
    </w:p>
    <w:p>
      <w:pPr>
        <w:pStyle w:val="ListBullet"/>
        <w:spacing w:after="40"/>
        <w:ind w:left="259"/>
      </w:pPr>
      <w:r>
        <w:rPr>
          <w:rFonts w:ascii="Aptos" w:hAnsi="Aptos"/>
          <w:b w:val="0"/>
          <w:color w:val="1A1033"/>
          <w:sz w:val="18"/>
        </w:rPr>
        <w:t>device deployment × matched merchant quality</w:t>
      </w:r>
    </w:p>
    <w:p>
      <w:pPr>
        <w:pStyle w:val="ListBullet"/>
        <w:spacing w:after="40"/>
        <w:ind w:left="259"/>
      </w:pPr>
      <w:r>
        <w:rPr>
          <w:rFonts w:ascii="Aptos" w:hAnsi="Aptos"/>
          <w:b w:val="0"/>
          <w:color w:val="1A1033"/>
          <w:sz w:val="18"/>
        </w:rPr>
        <w:t>support/fraud events around activation</w:t>
      </w:r>
    </w:p>
    <w:p>
      <w:r>
        <w:br w:type="page"/>
      </w:r>
    </w:p>
    <w:p>
      <w:r>
        <w:rPr>
          <w:rFonts w:ascii="Aptos" w:hAnsi="Aptos"/>
          <w:b/>
          <w:color w:val="5F259F"/>
          <w:sz w:val="48"/>
        </w:rPr>
        <w:t>12  Cohort Retention</w:t>
      </w:r>
    </w:p>
    <w:p>
      <w:r>
        <w:rPr>
          <w:rFonts w:ascii="Aptos" w:hAnsi="Aptos"/>
          <w:b w:val="0"/>
          <w:color w:val="5F6470"/>
          <w:sz w:val="22"/>
        </w:rPr>
        <w:t>Aggregate MAM can grow while newer cohorts quietly weaken.</w:t>
      </w:r>
    </w:p>
    <w:p>
      <w:pPr>
        <w:jc w:val="center"/>
      </w:pPr>
      <w:r>
        <w:drawing>
          <wp:inline xmlns:a="http://schemas.openxmlformats.org/drawingml/2006/main" xmlns:pic="http://schemas.openxmlformats.org/drawingml/2006/picture">
            <wp:extent cx="5943600" cy="3560904"/>
            <wp:docPr id="11" name="Picture 11"/>
            <wp:cNvGraphicFramePr>
              <a:graphicFrameLocks noChangeAspect="1"/>
            </wp:cNvGraphicFramePr>
            <a:graphic>
              <a:graphicData uri="http://schemas.openxmlformats.org/drawingml/2006/picture">
                <pic:pic>
                  <pic:nvPicPr>
                    <pic:cNvPr id="0" name="modeled_cohort.png"/>
                    <pic:cNvPicPr/>
                  </pic:nvPicPr>
                  <pic:blipFill>
                    <a:blip r:embed="rId20"/>
                    <a:stretch>
                      <a:fillRect/>
                    </a:stretch>
                  </pic:blipFill>
                  <pic:spPr>
                    <a:xfrm>
                      <a:off x="0" y="0"/>
                      <a:ext cx="5943600" cy="3560904"/>
                    </a:xfrm>
                    <a:prstGeom prst="rect"/>
                  </pic:spPr>
                </pic:pic>
              </a:graphicData>
            </a:graphic>
          </wp:inline>
        </w:drawing>
      </w:r>
    </w:p>
    <w:p>
      <w:pPr>
        <w:jc w:val="center"/>
      </w:pPr>
      <w:r>
        <w:rPr>
          <w:rFonts w:ascii="Aptos" w:hAnsi="Aptos"/>
          <w:b w:val="0"/>
          <w:color w:val="5F6470"/>
          <w:sz w:val="14"/>
        </w:rPr>
        <w:t>MODELED: synthetic cohort matrix for demonstrating SQL and retention analysis.</w:t>
      </w:r>
    </w:p>
    <w:p>
      <w:pPr>
        <w:spacing w:after="80" w:line="259" w:lineRule="auto"/>
      </w:pPr>
      <w:r>
        <w:rPr>
          <w:rFonts w:ascii="Aptos" w:hAnsi="Aptos"/>
          <w:b w:val="0"/>
          <w:color w:val="1A1033"/>
          <w:sz w:val="19"/>
        </w:rPr>
        <w:t>The repository includes SQL that assigns merchants to onboarding cohorts and calculates M0-M5 retained transacting merchants. In a real PhonePe environment, this should be extended to M12, TPAM retention, TPV retention and revenue retention.</w:t>
      </w:r>
    </w:p>
    <w:tbl>
      <w:tblPr>
        <w:tblW w:type="auto" w:w="0"/>
        <w:tblLook w:firstColumn="1" w:firstRow="1" w:lastColumn="0" w:lastRow="0" w:noHBand="0" w:noVBand="1" w:val="04A0"/>
      </w:tblPr>
      <w:tblGrid>
        <w:gridCol w:w="10454"/>
      </w:tblGrid>
      <w:tr>
        <w:tc>
          <w:tcPr>
            <w:tcW w:type="dxa" w:w="10454"/>
            <w:shd w:fill="F5F0FA"/>
            <w:tcMar>
              <w:top w:w="130" w:type="dxa"/>
              <w:start w:w="150" w:type="dxa"/>
              <w:bottom w:w="130" w:type="dxa"/>
              <w:end w:w="150" w:type="dxa"/>
            </w:tcMar>
          </w:tcPr>
          <w:p>
            <w:r>
              <w:rPr>
                <w:rFonts w:ascii="Aptos" w:hAnsi="Aptos"/>
                <w:b/>
                <w:color w:val="5F259F"/>
                <w:sz w:val="19"/>
              </w:rPr>
              <w:t xml:space="preserve">INTERVIEW POINT  </w:t>
            </w:r>
            <w:r>
              <w:rPr>
                <w:rFonts w:ascii="Aptos" w:hAnsi="Aptos"/>
                <w:b w:val="0"/>
                <w:color w:val="1A1033"/>
                <w:sz w:val="18"/>
              </w:rPr>
              <w:t>Cohort analysis controls for calendar-time mix better than a single aggregate retention number. If April acquisition doubled, MAM may rise even while the retention quality of April merchants is poor.</w:t>
            </w:r>
          </w:p>
        </w:tc>
      </w:tr>
    </w:tbl>
    <w:p>
      <w:pPr>
        <w:spacing w:after="20"/>
      </w:pPr>
    </w:p>
    <w:p>
      <w:r>
        <w:br w:type="page"/>
      </w:r>
    </w:p>
    <w:p>
      <w:r>
        <w:rPr>
          <w:rFonts w:ascii="Aptos" w:hAnsi="Aptos"/>
          <w:b/>
          <w:color w:val="5F259F"/>
          <w:sz w:val="48"/>
        </w:rPr>
        <w:t>13  Workstream A - Merchant Launchpad</w:t>
      </w:r>
    </w:p>
    <w:p>
      <w:r>
        <w:rPr>
          <w:rFonts w:ascii="Aptos" w:hAnsi="Aptos"/>
          <w:b w:val="0"/>
          <w:color w:val="5F6470"/>
          <w:sz w:val="22"/>
        </w:rPr>
        <w:t>Optimize for retained transacting merchants, not distributed QR codes.</w:t>
      </w:r>
    </w:p>
    <w:tbl>
      <w:tblPr>
        <w:tblW w:type="auto" w:w="0"/>
        <w:tblLook w:firstColumn="1" w:firstRow="1" w:lastColumn="0" w:lastRow="0" w:noHBand="0" w:noVBand="1" w:val="04A0"/>
      </w:tblPr>
      <w:tblGrid>
        <w:gridCol w:w="10454"/>
      </w:tblGrid>
      <w:tr>
        <w:tc>
          <w:tcPr>
            <w:tcW w:type="dxa" w:w="10454"/>
            <w:shd w:fill="F5F0FA"/>
            <w:tcMar>
              <w:top w:w="130" w:type="dxa"/>
              <w:start w:w="150" w:type="dxa"/>
              <w:bottom w:w="130" w:type="dxa"/>
              <w:end w:w="150" w:type="dxa"/>
            </w:tcMar>
          </w:tcPr>
          <w:p>
            <w:r>
              <w:rPr>
                <w:rFonts w:ascii="Aptos" w:hAnsi="Aptos"/>
                <w:b/>
                <w:color w:val="5F259F"/>
                <w:sz w:val="19"/>
              </w:rPr>
              <w:t xml:space="preserve">HYPOTHESIS  </w:t>
            </w:r>
            <w:r>
              <w:rPr>
                <w:rFonts w:ascii="Aptos" w:hAnsi="Aptos"/>
                <w:b w:val="0"/>
                <w:color w:val="1A1033"/>
                <w:sz w:val="18"/>
              </w:rPr>
              <w:t>Structured first-30-day onboarding can reduce the QR→first-payment and early-retention drop without relying on blanket transaction subsidies.</w:t>
            </w:r>
          </w:p>
        </w:tc>
      </w:tr>
    </w:tbl>
    <w:p>
      <w:pPr>
        <w:spacing w:after="20"/>
      </w:pP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5F259F"/>
            <w:tcMar>
              <w:top w:w="70" w:type="dxa"/>
              <w:start w:w="60" w:type="dxa"/>
              <w:bottom w:w="70" w:type="dxa"/>
              <w:end w:w="60" w:type="dxa"/>
            </w:tcMar>
          </w:tcPr>
          <w:p>
            <w:r>
              <w:rPr>
                <w:rFonts w:ascii="Aptos" w:hAnsi="Aptos"/>
                <w:b/>
                <w:color w:val="FFFFFF"/>
                <w:sz w:val="15"/>
              </w:rPr>
              <w:t>Stage</w:t>
            </w:r>
          </w:p>
        </w:tc>
        <w:tc>
          <w:tcPr>
            <w:tcW w:type="dxa" w:w="3485"/>
            <w:shd w:fill="5F259F"/>
            <w:tcMar>
              <w:top w:w="70" w:type="dxa"/>
              <w:start w:w="60" w:type="dxa"/>
              <w:bottom w:w="70" w:type="dxa"/>
              <w:end w:w="60" w:type="dxa"/>
            </w:tcMar>
          </w:tcPr>
          <w:p>
            <w:r>
              <w:rPr>
                <w:rFonts w:ascii="Aptos" w:hAnsi="Aptos"/>
                <w:b/>
                <w:color w:val="FFFFFF"/>
                <w:sz w:val="15"/>
              </w:rPr>
              <w:t>Intervention</w:t>
            </w:r>
          </w:p>
        </w:tc>
        <w:tc>
          <w:tcPr>
            <w:tcW w:type="dxa" w:w="3485"/>
            <w:shd w:fill="5F259F"/>
            <w:tcMar>
              <w:top w:w="70" w:type="dxa"/>
              <w:start w:w="60" w:type="dxa"/>
              <w:bottom w:w="70" w:type="dxa"/>
              <w:end w:w="60" w:type="dxa"/>
            </w:tcMar>
          </w:tcPr>
          <w:p>
            <w:r>
              <w:rPr>
                <w:rFonts w:ascii="Aptos" w:hAnsi="Aptos"/>
                <w:b/>
                <w:color w:val="FFFFFF"/>
                <w:sz w:val="15"/>
              </w:rPr>
              <w:t>Metric</w:t>
            </w:r>
          </w:p>
        </w:tc>
      </w:tr>
      <w:tr>
        <w:tc>
          <w:tcPr>
            <w:tcW w:type="dxa" w:w="3485"/>
            <w:tcMar>
              <w:top w:w="60" w:type="dxa"/>
              <w:start w:w="55" w:type="dxa"/>
              <w:bottom w:w="60" w:type="dxa"/>
              <w:end w:w="55" w:type="dxa"/>
            </w:tcMar>
          </w:tcPr>
          <w:p>
            <w:r>
              <w:rPr>
                <w:rFonts w:ascii="Aptos" w:hAnsi="Aptos"/>
                <w:b w:val="0"/>
                <w:color w:val="1A1033"/>
                <w:sz w:val="15"/>
              </w:rPr>
              <w:t>Day 0-1</w:t>
            </w:r>
          </w:p>
        </w:tc>
        <w:tc>
          <w:tcPr>
            <w:tcW w:type="dxa" w:w="3485"/>
            <w:tcMar>
              <w:top w:w="60" w:type="dxa"/>
              <w:start w:w="55" w:type="dxa"/>
              <w:bottom w:w="60" w:type="dxa"/>
              <w:end w:w="55" w:type="dxa"/>
            </w:tcMar>
          </w:tcPr>
          <w:p>
            <w:r>
              <w:rPr>
                <w:rFonts w:ascii="Aptos" w:hAnsi="Aptos"/>
                <w:b w:val="0"/>
                <w:color w:val="1A1033"/>
                <w:sz w:val="15"/>
              </w:rPr>
              <w:t>QR readiness + first-payment test</w:t>
            </w:r>
          </w:p>
        </w:tc>
        <w:tc>
          <w:tcPr>
            <w:tcW w:type="dxa" w:w="3485"/>
            <w:tcMar>
              <w:top w:w="60" w:type="dxa"/>
              <w:start w:w="55" w:type="dxa"/>
              <w:bottom w:w="60" w:type="dxa"/>
              <w:end w:w="55" w:type="dxa"/>
            </w:tcMar>
          </w:tcPr>
          <w:p>
            <w:r>
              <w:rPr>
                <w:rFonts w:ascii="Aptos" w:hAnsi="Aptos"/>
                <w:b w:val="0"/>
                <w:color w:val="1A1033"/>
                <w:sz w:val="15"/>
              </w:rPr>
              <w:t>First successful payment</w:t>
            </w:r>
          </w:p>
        </w:tc>
      </w:tr>
      <w:tr>
        <w:tc>
          <w:tcPr>
            <w:tcW w:type="dxa" w:w="3485"/>
            <w:tcMar>
              <w:top w:w="60" w:type="dxa"/>
              <w:start w:w="55" w:type="dxa"/>
              <w:bottom w:w="60" w:type="dxa"/>
              <w:end w:w="55" w:type="dxa"/>
            </w:tcMar>
            <w:shd w:fill="F8F5FB"/>
          </w:tcPr>
          <w:p>
            <w:r>
              <w:rPr>
                <w:rFonts w:ascii="Aptos" w:hAnsi="Aptos"/>
                <w:b w:val="0"/>
                <w:color w:val="1A1033"/>
                <w:sz w:val="15"/>
              </w:rPr>
              <w:t>Day 2-7</w:t>
            </w:r>
          </w:p>
        </w:tc>
        <w:tc>
          <w:tcPr>
            <w:tcW w:type="dxa" w:w="3485"/>
            <w:tcMar>
              <w:top w:w="60" w:type="dxa"/>
              <w:start w:w="55" w:type="dxa"/>
              <w:bottom w:w="60" w:type="dxa"/>
              <w:end w:w="55" w:type="dxa"/>
            </w:tcMar>
            <w:shd w:fill="F8F5FB"/>
          </w:tcPr>
          <w:p>
            <w:r>
              <w:rPr>
                <w:rFonts w:ascii="Aptos" w:hAnsi="Aptos"/>
                <w:b w:val="0"/>
                <w:color w:val="1A1033"/>
                <w:sz w:val="15"/>
              </w:rPr>
              <w:t>Settlement/reconciliation + local-language guidance</w:t>
            </w:r>
          </w:p>
        </w:tc>
        <w:tc>
          <w:tcPr>
            <w:tcW w:type="dxa" w:w="3485"/>
            <w:tcMar>
              <w:top w:w="60" w:type="dxa"/>
              <w:start w:w="55" w:type="dxa"/>
              <w:bottom w:w="60" w:type="dxa"/>
              <w:end w:w="55" w:type="dxa"/>
            </w:tcMar>
            <w:shd w:fill="F8F5FB"/>
          </w:tcPr>
          <w:p>
            <w:r>
              <w:rPr>
                <w:rFonts w:ascii="Aptos" w:hAnsi="Aptos"/>
                <w:b w:val="0"/>
                <w:color w:val="1A1033"/>
                <w:sz w:val="15"/>
              </w:rPr>
              <w:t>7D active rate</w:t>
            </w:r>
          </w:p>
        </w:tc>
      </w:tr>
      <w:tr>
        <w:tc>
          <w:tcPr>
            <w:tcW w:type="dxa" w:w="3485"/>
            <w:tcMar>
              <w:top w:w="60" w:type="dxa"/>
              <w:start w:w="55" w:type="dxa"/>
              <w:bottom w:w="60" w:type="dxa"/>
              <w:end w:w="55" w:type="dxa"/>
            </w:tcMar>
          </w:tcPr>
          <w:p>
            <w:r>
              <w:rPr>
                <w:rFonts w:ascii="Aptos" w:hAnsi="Aptos"/>
                <w:b w:val="0"/>
                <w:color w:val="1A1033"/>
                <w:sz w:val="15"/>
              </w:rPr>
              <w:t>Day 8-30</w:t>
            </w:r>
          </w:p>
        </w:tc>
        <w:tc>
          <w:tcPr>
            <w:tcW w:type="dxa" w:w="3485"/>
            <w:tcMar>
              <w:top w:w="60" w:type="dxa"/>
              <w:start w:w="55" w:type="dxa"/>
              <w:bottom w:w="60" w:type="dxa"/>
              <w:end w:w="55" w:type="dxa"/>
            </w:tcMar>
          </w:tcPr>
          <w:p>
            <w:r>
              <w:rPr>
                <w:rFonts w:ascii="Aptos" w:hAnsi="Aptos"/>
                <w:b w:val="0"/>
                <w:color w:val="1A1033"/>
                <w:sz w:val="15"/>
              </w:rPr>
              <w:t>Business insights + reliability nudges</w:t>
            </w:r>
          </w:p>
        </w:tc>
        <w:tc>
          <w:tcPr>
            <w:tcW w:type="dxa" w:w="3485"/>
            <w:tcMar>
              <w:top w:w="60" w:type="dxa"/>
              <w:start w:w="55" w:type="dxa"/>
              <w:bottom w:w="60" w:type="dxa"/>
              <w:end w:w="55" w:type="dxa"/>
            </w:tcMar>
          </w:tcPr>
          <w:p>
            <w:r>
              <w:rPr>
                <w:rFonts w:ascii="Aptos" w:hAnsi="Aptos"/>
                <w:b w:val="0"/>
                <w:color w:val="1A1033"/>
                <w:sz w:val="15"/>
              </w:rPr>
              <w:t>30D retained rate</w:t>
            </w:r>
          </w:p>
        </w:tc>
      </w:tr>
      <w:tr>
        <w:tc>
          <w:tcPr>
            <w:tcW w:type="dxa" w:w="3485"/>
            <w:tcMar>
              <w:top w:w="60" w:type="dxa"/>
              <w:start w:w="55" w:type="dxa"/>
              <w:bottom w:w="60" w:type="dxa"/>
              <w:end w:w="55" w:type="dxa"/>
            </w:tcMar>
            <w:shd w:fill="F8F5FB"/>
          </w:tcPr>
          <w:p>
            <w:r>
              <w:rPr>
                <w:rFonts w:ascii="Aptos" w:hAnsi="Aptos"/>
                <w:b w:val="0"/>
                <w:color w:val="1A1033"/>
                <w:sz w:val="15"/>
              </w:rPr>
              <w:t>Post-fit</w:t>
            </w:r>
          </w:p>
        </w:tc>
        <w:tc>
          <w:tcPr>
            <w:tcW w:type="dxa" w:w="3485"/>
            <w:tcMar>
              <w:top w:w="60" w:type="dxa"/>
              <w:start w:w="55" w:type="dxa"/>
              <w:bottom w:w="60" w:type="dxa"/>
              <w:end w:w="55" w:type="dxa"/>
            </w:tcMar>
            <w:shd w:fill="F8F5FB"/>
          </w:tcPr>
          <w:p>
            <w:r>
              <w:rPr>
                <w:rFonts w:ascii="Aptos" w:hAnsi="Aptos"/>
                <w:b w:val="0"/>
                <w:color w:val="1A1033"/>
                <w:sz w:val="15"/>
              </w:rPr>
              <w:t>Device / Udyam / lending or other service eligibility</w:t>
            </w:r>
          </w:p>
        </w:tc>
        <w:tc>
          <w:tcPr>
            <w:tcW w:type="dxa" w:w="3485"/>
            <w:tcMar>
              <w:top w:w="60" w:type="dxa"/>
              <w:start w:w="55" w:type="dxa"/>
              <w:bottom w:w="60" w:type="dxa"/>
              <w:end w:w="55" w:type="dxa"/>
            </w:tcMar>
            <w:shd w:fill="F8F5FB"/>
          </w:tcPr>
          <w:p>
            <w:r>
              <w:rPr>
                <w:rFonts w:ascii="Aptos" w:hAnsi="Aptos"/>
                <w:b w:val="0"/>
                <w:color w:val="1A1033"/>
                <w:sz w:val="15"/>
              </w:rPr>
              <w:t>Retained TPAM + monetization</w:t>
            </w:r>
          </w:p>
        </w:tc>
      </w:tr>
    </w:tbl>
    <w:p>
      <w:pPr>
        <w:spacing w:after="40"/>
      </w:pPr>
    </w:p>
    <w:p>
      <w:pPr>
        <w:pStyle w:val="Heading2"/>
        <w:spacing w:before="120" w:after="80"/>
      </w:pPr>
      <w:r>
        <w:rPr>
          <w:rFonts w:ascii="Aptos" w:hAnsi="Aptos"/>
          <w:b/>
          <w:color w:val="1A1033"/>
          <w:sz w:val="24"/>
        </w:rPr>
        <w:t>Experiment</w:t>
      </w:r>
    </w:p>
    <w:p>
      <w:pPr>
        <w:pStyle w:val="ListBullet"/>
        <w:spacing w:after="40"/>
        <w:ind w:left="259"/>
      </w:pPr>
      <w:r>
        <w:rPr>
          <w:rFonts w:ascii="Aptos" w:hAnsi="Aptos"/>
          <w:b w:val="0"/>
          <w:color w:val="1A1033"/>
          <w:sz w:val="18"/>
        </w:rPr>
        <w:t>Control: existing onboarding.</w:t>
      </w:r>
    </w:p>
    <w:p>
      <w:pPr>
        <w:pStyle w:val="ListBullet"/>
        <w:spacing w:after="40"/>
        <w:ind w:left="259"/>
      </w:pPr>
      <w:r>
        <w:rPr>
          <w:rFonts w:ascii="Aptos" w:hAnsi="Aptos"/>
          <w:b w:val="0"/>
          <w:color w:val="1A1033"/>
          <w:sz w:val="18"/>
        </w:rPr>
        <w:t>Treatment: Launchpad sequence with personalized activation tasks.</w:t>
      </w:r>
    </w:p>
    <w:p>
      <w:pPr>
        <w:pStyle w:val="ListBullet"/>
        <w:spacing w:after="40"/>
        <w:ind w:left="259"/>
      </w:pPr>
      <w:r>
        <w:rPr>
          <w:rFonts w:ascii="Aptos" w:hAnsi="Aptos"/>
          <w:b w:val="0"/>
          <w:color w:val="1A1033"/>
          <w:sz w:val="18"/>
        </w:rPr>
        <w:t>Primary: 30-day Retained Merchant Rate.</w:t>
      </w:r>
    </w:p>
    <w:p>
      <w:pPr>
        <w:pStyle w:val="ListBullet"/>
        <w:spacing w:after="40"/>
        <w:ind w:left="259"/>
      </w:pPr>
      <w:r>
        <w:rPr>
          <w:rFonts w:ascii="Aptos" w:hAnsi="Aptos"/>
          <w:b w:val="0"/>
          <w:color w:val="1A1033"/>
          <w:sz w:val="18"/>
        </w:rPr>
        <w:t>Secondary: first payment in 72h, D30 TPAM, active days, support contacts.</w:t>
      </w:r>
    </w:p>
    <w:p>
      <w:pPr>
        <w:pStyle w:val="ListBullet"/>
        <w:spacing w:after="40"/>
        <w:ind w:left="259"/>
      </w:pPr>
      <w:r>
        <w:rPr>
          <w:rFonts w:ascii="Aptos" w:hAnsi="Aptos"/>
          <w:b w:val="0"/>
          <w:color w:val="1A1033"/>
          <w:sz w:val="18"/>
        </w:rPr>
        <w:t>Kill criteria: fraud increase, cost/retained merchant above hurdle, or support burden materially worsens.</w:t>
      </w:r>
    </w:p>
    <w:p>
      <w:r>
        <w:br w:type="page"/>
      </w:r>
    </w:p>
    <w:p>
      <w:r>
        <w:rPr>
          <w:rFonts w:ascii="Aptos" w:hAnsi="Aptos"/>
          <w:b/>
          <w:color w:val="5F259F"/>
          <w:sz w:val="48"/>
        </w:rPr>
        <w:t>14  Workstream B - Consumer Habit Ladder</w:t>
      </w:r>
    </w:p>
    <w:p>
      <w:r>
        <w:rPr>
          <w:rFonts w:ascii="Aptos" w:hAnsi="Aptos"/>
          <w:b w:val="0"/>
          <w:color w:val="5F6470"/>
          <w:sz w:val="22"/>
        </w:rPr>
        <w:t>Move from “more notifications” to next-best-use-case sequencing.</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5F259F"/>
            <w:tcMar>
              <w:top w:w="70" w:type="dxa"/>
              <w:start w:w="60" w:type="dxa"/>
              <w:bottom w:w="70" w:type="dxa"/>
              <w:end w:w="60" w:type="dxa"/>
            </w:tcMar>
          </w:tcPr>
          <w:p>
            <w:r>
              <w:rPr>
                <w:rFonts w:ascii="Aptos" w:hAnsi="Aptos"/>
                <w:b/>
                <w:color w:val="FFFFFF"/>
                <w:sz w:val="16"/>
              </w:rPr>
              <w:t>Segment</w:t>
            </w:r>
          </w:p>
        </w:tc>
        <w:tc>
          <w:tcPr>
            <w:tcW w:type="dxa" w:w="3485"/>
            <w:shd w:fill="5F259F"/>
            <w:tcMar>
              <w:top w:w="70" w:type="dxa"/>
              <w:start w:w="60" w:type="dxa"/>
              <w:bottom w:w="70" w:type="dxa"/>
              <w:end w:w="60" w:type="dxa"/>
            </w:tcMar>
          </w:tcPr>
          <w:p>
            <w:r>
              <w:rPr>
                <w:rFonts w:ascii="Aptos" w:hAnsi="Aptos"/>
                <w:b/>
                <w:color w:val="FFFFFF"/>
                <w:sz w:val="16"/>
              </w:rPr>
              <w:t>Illustrative frequency</w:t>
            </w:r>
          </w:p>
        </w:tc>
        <w:tc>
          <w:tcPr>
            <w:tcW w:type="dxa" w:w="3485"/>
            <w:shd w:fill="5F259F"/>
            <w:tcMar>
              <w:top w:w="70" w:type="dxa"/>
              <w:start w:w="60" w:type="dxa"/>
              <w:bottom w:w="70" w:type="dxa"/>
              <w:end w:w="60" w:type="dxa"/>
            </w:tcMar>
          </w:tcPr>
          <w:p>
            <w:r>
              <w:rPr>
                <w:rFonts w:ascii="Aptos" w:hAnsi="Aptos"/>
                <w:b/>
                <w:color w:val="FFFFFF"/>
                <w:sz w:val="16"/>
              </w:rPr>
              <w:t>Product job</w:t>
            </w:r>
          </w:p>
        </w:tc>
      </w:tr>
      <w:tr>
        <w:tc>
          <w:tcPr>
            <w:tcW w:type="dxa" w:w="3485"/>
            <w:tcMar>
              <w:top w:w="60" w:type="dxa"/>
              <w:start w:w="55" w:type="dxa"/>
              <w:bottom w:w="60" w:type="dxa"/>
              <w:end w:w="55" w:type="dxa"/>
            </w:tcMar>
          </w:tcPr>
          <w:p>
            <w:r>
              <w:rPr>
                <w:rFonts w:ascii="Aptos" w:hAnsi="Aptos"/>
                <w:b w:val="0"/>
                <w:color w:val="1A1033"/>
                <w:sz w:val="16"/>
              </w:rPr>
              <w:t>Occasional</w:t>
            </w:r>
          </w:p>
        </w:tc>
        <w:tc>
          <w:tcPr>
            <w:tcW w:type="dxa" w:w="3485"/>
            <w:tcMar>
              <w:top w:w="60" w:type="dxa"/>
              <w:start w:w="55" w:type="dxa"/>
              <w:bottom w:w="60" w:type="dxa"/>
              <w:end w:w="55" w:type="dxa"/>
            </w:tcMar>
          </w:tcPr>
          <w:p>
            <w:r>
              <w:rPr>
                <w:rFonts w:ascii="Aptos" w:hAnsi="Aptos"/>
                <w:b w:val="0"/>
                <w:color w:val="1A1033"/>
                <w:sz w:val="16"/>
              </w:rPr>
              <w:t>&lt;10 tx/month</w:t>
            </w:r>
          </w:p>
        </w:tc>
        <w:tc>
          <w:tcPr>
            <w:tcW w:type="dxa" w:w="3485"/>
            <w:tcMar>
              <w:top w:w="60" w:type="dxa"/>
              <w:start w:w="55" w:type="dxa"/>
              <w:bottom w:w="60" w:type="dxa"/>
              <w:end w:w="55" w:type="dxa"/>
            </w:tcMar>
          </w:tcPr>
          <w:p>
            <w:r>
              <w:rPr>
                <w:rFonts w:ascii="Aptos" w:hAnsi="Aptos"/>
                <w:b w:val="0"/>
                <w:color w:val="1A1033"/>
                <w:sz w:val="16"/>
              </w:rPr>
              <w:t>Find one recurring high-fit use case</w:t>
            </w:r>
          </w:p>
        </w:tc>
      </w:tr>
      <w:tr>
        <w:tc>
          <w:tcPr>
            <w:tcW w:type="dxa" w:w="3485"/>
            <w:tcMar>
              <w:top w:w="60" w:type="dxa"/>
              <w:start w:w="55" w:type="dxa"/>
              <w:bottom w:w="60" w:type="dxa"/>
              <w:end w:w="55" w:type="dxa"/>
            </w:tcMar>
            <w:shd w:fill="F8F5FB"/>
          </w:tcPr>
          <w:p>
            <w:r>
              <w:rPr>
                <w:rFonts w:ascii="Aptos" w:hAnsi="Aptos"/>
                <w:b w:val="0"/>
                <w:color w:val="1A1033"/>
                <w:sz w:val="16"/>
              </w:rPr>
              <w:t>Developing</w:t>
            </w:r>
          </w:p>
        </w:tc>
        <w:tc>
          <w:tcPr>
            <w:tcW w:type="dxa" w:w="3485"/>
            <w:tcMar>
              <w:top w:w="60" w:type="dxa"/>
              <w:start w:w="55" w:type="dxa"/>
              <w:bottom w:w="60" w:type="dxa"/>
              <w:end w:w="55" w:type="dxa"/>
            </w:tcMar>
            <w:shd w:fill="F8F5FB"/>
          </w:tcPr>
          <w:p>
            <w:r>
              <w:rPr>
                <w:rFonts w:ascii="Aptos" w:hAnsi="Aptos"/>
                <w:b w:val="0"/>
                <w:color w:val="1A1033"/>
                <w:sz w:val="16"/>
              </w:rPr>
              <w:t>10-29 tx/month</w:t>
            </w:r>
          </w:p>
        </w:tc>
        <w:tc>
          <w:tcPr>
            <w:tcW w:type="dxa" w:w="3485"/>
            <w:tcMar>
              <w:top w:w="60" w:type="dxa"/>
              <w:start w:w="55" w:type="dxa"/>
              <w:bottom w:w="60" w:type="dxa"/>
              <w:end w:w="55" w:type="dxa"/>
            </w:tcMar>
            <w:shd w:fill="F8F5FB"/>
          </w:tcPr>
          <w:p>
            <w:r>
              <w:rPr>
                <w:rFonts w:ascii="Aptos" w:hAnsi="Aptos"/>
                <w:b w:val="0"/>
                <w:color w:val="1A1033"/>
                <w:sz w:val="16"/>
              </w:rPr>
              <w:t>Build repeat weekly/monthly loop</w:t>
            </w:r>
          </w:p>
        </w:tc>
      </w:tr>
      <w:tr>
        <w:tc>
          <w:tcPr>
            <w:tcW w:type="dxa" w:w="3485"/>
            <w:tcMar>
              <w:top w:w="60" w:type="dxa"/>
              <w:start w:w="55" w:type="dxa"/>
              <w:bottom w:w="60" w:type="dxa"/>
              <w:end w:w="55" w:type="dxa"/>
            </w:tcMar>
          </w:tcPr>
          <w:p>
            <w:r>
              <w:rPr>
                <w:rFonts w:ascii="Aptos" w:hAnsi="Aptos"/>
                <w:b w:val="0"/>
                <w:color w:val="1A1033"/>
                <w:sz w:val="16"/>
              </w:rPr>
              <w:t>Habitual</w:t>
            </w:r>
          </w:p>
        </w:tc>
        <w:tc>
          <w:tcPr>
            <w:tcW w:type="dxa" w:w="3485"/>
            <w:tcMar>
              <w:top w:w="60" w:type="dxa"/>
              <w:start w:w="55" w:type="dxa"/>
              <w:bottom w:w="60" w:type="dxa"/>
              <w:end w:w="55" w:type="dxa"/>
            </w:tcMar>
          </w:tcPr>
          <w:p>
            <w:r>
              <w:rPr>
                <w:rFonts w:ascii="Aptos" w:hAnsi="Aptos"/>
                <w:b w:val="0"/>
                <w:color w:val="1A1033"/>
                <w:sz w:val="16"/>
              </w:rPr>
              <w:t>30+ tx/month</w:t>
            </w:r>
          </w:p>
        </w:tc>
        <w:tc>
          <w:tcPr>
            <w:tcW w:type="dxa" w:w="3485"/>
            <w:tcMar>
              <w:top w:w="60" w:type="dxa"/>
              <w:start w:w="55" w:type="dxa"/>
              <w:bottom w:w="60" w:type="dxa"/>
              <w:end w:w="55" w:type="dxa"/>
            </w:tcMar>
          </w:tcPr>
          <w:p>
            <w:r>
              <w:rPr>
                <w:rFonts w:ascii="Aptos" w:hAnsi="Aptos"/>
                <w:b w:val="0"/>
                <w:color w:val="1A1033"/>
                <w:sz w:val="16"/>
              </w:rPr>
              <w:t>Protect reliability + relevant monetization</w:t>
            </w:r>
          </w:p>
        </w:tc>
      </w:tr>
    </w:tbl>
    <w:p>
      <w:pPr>
        <w:spacing w:after="40"/>
      </w:pPr>
    </w:p>
    <w:p>
      <w:pPr>
        <w:spacing w:after="80" w:line="259" w:lineRule="auto"/>
      </w:pPr>
      <w:r>
        <w:rPr>
          <w:rFonts w:ascii="Aptos" w:hAnsi="Aptos"/>
          <w:b w:val="0"/>
          <w:color w:val="1A1033"/>
          <w:sz w:val="19"/>
        </w:rPr>
        <w:t>The &gt;30 transaction threshold is aligned to PhonePe's disclosed definition of habitual users; &lt;10 and 10-29 are analytical segments introduced for this case.</w:t>
      </w:r>
    </w:p>
    <w:p>
      <w:pPr>
        <w:pStyle w:val="Heading2"/>
        <w:spacing w:before="120" w:after="80"/>
      </w:pPr>
      <w:r>
        <w:rPr>
          <w:rFonts w:ascii="Aptos" w:hAnsi="Aptos"/>
          <w:b/>
          <w:color w:val="1A1033"/>
          <w:sz w:val="24"/>
        </w:rPr>
        <w:t>Example next-use-case logic</w:t>
      </w:r>
    </w:p>
    <w:p>
      <w:pPr>
        <w:pStyle w:val="ListBullet"/>
        <w:spacing w:after="40"/>
        <w:ind w:left="259"/>
      </w:pPr>
      <w:r>
        <w:rPr>
          <w:rFonts w:ascii="Aptos" w:hAnsi="Aptos"/>
          <w:b w:val="0"/>
          <w:color w:val="1A1033"/>
          <w:sz w:val="18"/>
        </w:rPr>
        <w:t>P2P-heavy → merchant scan/pay or recurring utility</w:t>
      </w:r>
    </w:p>
    <w:p>
      <w:pPr>
        <w:pStyle w:val="ListBullet"/>
        <w:spacing w:after="40"/>
        <w:ind w:left="259"/>
      </w:pPr>
      <w:r>
        <w:rPr>
          <w:rFonts w:ascii="Aptos" w:hAnsi="Aptos"/>
          <w:b w:val="0"/>
          <w:color w:val="1A1033"/>
          <w:sz w:val="18"/>
        </w:rPr>
        <w:t>utility-heavy → AutoPay / recurring bill reliability</w:t>
      </w:r>
    </w:p>
    <w:p>
      <w:pPr>
        <w:pStyle w:val="ListBullet"/>
        <w:spacing w:after="40"/>
        <w:ind w:left="259"/>
      </w:pPr>
      <w:r>
        <w:rPr>
          <w:rFonts w:ascii="Aptos" w:hAnsi="Aptos"/>
          <w:b w:val="0"/>
          <w:color w:val="1A1033"/>
          <w:sz w:val="18"/>
        </w:rPr>
        <w:t>merchant-pay-heavy → transit / recurring merchants / credit-on-UPI where eligible</w:t>
      </w:r>
    </w:p>
    <w:p>
      <w:pPr>
        <w:pStyle w:val="ListBullet"/>
        <w:spacing w:after="40"/>
        <w:ind w:left="259"/>
      </w:pPr>
      <w:r>
        <w:rPr>
          <w:rFonts w:ascii="Aptos" w:hAnsi="Aptos"/>
          <w:b w:val="0"/>
          <w:color w:val="1A1033"/>
          <w:sz w:val="18"/>
        </w:rPr>
        <w:t>habitual multi-use-case → security, reliability and relevant financial-service discovery</w:t>
      </w:r>
    </w:p>
    <w:tbl>
      <w:tblPr>
        <w:tblW w:type="auto" w:w="0"/>
        <w:tblLook w:firstColumn="1" w:firstRow="1" w:lastColumn="0" w:lastRow="0" w:noHBand="0" w:noVBand="1" w:val="04A0"/>
      </w:tblPr>
      <w:tblGrid>
        <w:gridCol w:w="10454"/>
      </w:tblGrid>
      <w:tr>
        <w:tc>
          <w:tcPr>
            <w:tcW w:type="dxa" w:w="10454"/>
            <w:shd w:fill="F5F0FA"/>
            <w:tcMar>
              <w:top w:w="130" w:type="dxa"/>
              <w:start w:w="150" w:type="dxa"/>
              <w:bottom w:w="130" w:type="dxa"/>
              <w:end w:w="150" w:type="dxa"/>
            </w:tcMar>
          </w:tcPr>
          <w:p>
            <w:r>
              <w:rPr>
                <w:rFonts w:ascii="Aptos" w:hAnsi="Aptos"/>
                <w:b/>
                <w:color w:val="5F259F"/>
                <w:sz w:val="19"/>
              </w:rPr>
              <w:t xml:space="preserve">PRIMARY METRIC  </w:t>
            </w:r>
            <w:r>
              <w:rPr>
                <w:rFonts w:ascii="Aptos" w:hAnsi="Aptos"/>
                <w:b w:val="0"/>
                <w:color w:val="1A1033"/>
                <w:sz w:val="18"/>
              </w:rPr>
              <w:t>Incremental share of MAC crossing the habitual threshold, with transaction success, fraud/disputes, notification opt-out and 60/90-day persistence as guardrails.</w:t>
            </w:r>
          </w:p>
        </w:tc>
      </w:tr>
    </w:tbl>
    <w:p>
      <w:pPr>
        <w:spacing w:after="20"/>
      </w:pPr>
    </w:p>
    <w:p>
      <w:r>
        <w:br w:type="page"/>
      </w:r>
    </w:p>
    <w:p>
      <w:r>
        <w:rPr>
          <w:rFonts w:ascii="Aptos" w:hAnsi="Aptos"/>
          <w:b/>
          <w:color w:val="5F259F"/>
          <w:sz w:val="48"/>
        </w:rPr>
        <w:t>15  Workstream C - Merchant Depth &amp; Monetization</w:t>
      </w:r>
    </w:p>
    <w:p>
      <w:r>
        <w:rPr>
          <w:rFonts w:ascii="Aptos" w:hAnsi="Aptos"/>
          <w:b w:val="0"/>
          <w:color w:val="5F6470"/>
          <w:sz w:val="22"/>
        </w:rPr>
        <w:t>Monetize after usage fit, not by indiscriminate cross-sell.</w:t>
      </w:r>
    </w:p>
    <w:tbl>
      <w:tblPr>
        <w:tblW w:type="auto" w:w="0"/>
        <w:jc w:val="center"/>
        <w:tblLayout w:type="autofit"/>
        <w:tblLook w:firstColumn="1" w:firstRow="1" w:lastColumn="0" w:lastRow="0" w:noHBand="0" w:noVBand="1" w:val="04A0"/>
      </w:tblPr>
      <w:tblGrid>
        <w:gridCol w:w="2613"/>
        <w:gridCol w:w="2613"/>
        <w:gridCol w:w="2613"/>
        <w:gridCol w:w="2613"/>
      </w:tblGrid>
      <w:tr>
        <w:tc>
          <w:tcPr>
            <w:tcW w:type="dxa" w:w="2613"/>
            <w:shd w:fill="F5F0FA"/>
            <w:tcMar>
              <w:top w:w="100" w:type="dxa"/>
              <w:start w:w="80" w:type="dxa"/>
              <w:bottom w:w="100" w:type="dxa"/>
              <w:end w:w="80" w:type="dxa"/>
            </w:tcMar>
            <w:vAlign w:val="center"/>
          </w:tcPr>
          <w:p>
            <w:pPr>
              <w:jc w:val="center"/>
            </w:pPr>
            <w:r>
              <w:rPr>
                <w:rFonts w:ascii="Aptos" w:hAnsi="Aptos"/>
                <w:b/>
                <w:color w:val="5F259F"/>
                <w:sz w:val="36"/>
              </w:rPr>
              <w:t>9.19M</w:t>
            </w:r>
          </w:p>
          <w:p>
            <w:pPr>
              <w:jc w:val="center"/>
            </w:pPr>
            <w:r>
              <w:rPr>
                <w:rFonts w:ascii="Aptos" w:hAnsi="Aptos"/>
                <w:b w:val="0"/>
                <w:color w:val="5F6470"/>
                <w:sz w:val="15"/>
              </w:rPr>
              <w:t>payment devices Sep-25</w:t>
            </w:r>
          </w:p>
        </w:tc>
        <w:tc>
          <w:tcPr>
            <w:tcW w:type="dxa" w:w="2613"/>
            <w:shd w:fill="F5F0FA"/>
            <w:tcMar>
              <w:top w:w="100" w:type="dxa"/>
              <w:start w:w="80" w:type="dxa"/>
              <w:bottom w:w="100" w:type="dxa"/>
              <w:end w:w="80" w:type="dxa"/>
            </w:tcMar>
            <w:vAlign w:val="center"/>
          </w:tcPr>
          <w:p>
            <w:pPr>
              <w:jc w:val="center"/>
            </w:pPr>
            <w:r>
              <w:rPr>
                <w:rFonts w:ascii="Aptos" w:hAnsi="Aptos"/>
                <w:b/>
                <w:color w:val="5F259F"/>
                <w:sz w:val="36"/>
              </w:rPr>
              <w:t>₹1,792.8 Cr</w:t>
            </w:r>
          </w:p>
          <w:p>
            <w:pPr>
              <w:jc w:val="center"/>
            </w:pPr>
            <w:r>
              <w:rPr>
                <w:rFonts w:ascii="Aptos" w:hAnsi="Aptos"/>
                <w:b w:val="0"/>
                <w:color w:val="5F6470"/>
                <w:sz w:val="15"/>
              </w:rPr>
              <w:t>FY25 merchant-payments revenue</w:t>
            </w:r>
          </w:p>
        </w:tc>
        <w:tc>
          <w:tcPr>
            <w:tcW w:type="dxa" w:w="2613"/>
            <w:shd w:fill="F5F0FA"/>
            <w:tcMar>
              <w:top w:w="100" w:type="dxa"/>
              <w:start w:w="80" w:type="dxa"/>
              <w:bottom w:w="100" w:type="dxa"/>
              <w:end w:w="80" w:type="dxa"/>
            </w:tcMar>
            <w:vAlign w:val="center"/>
          </w:tcPr>
          <w:p>
            <w:pPr>
              <w:jc w:val="center"/>
            </w:pPr>
            <w:r>
              <w:rPr>
                <w:rFonts w:ascii="Aptos" w:hAnsi="Aptos"/>
                <w:b/>
                <w:color w:val="5F259F"/>
                <w:sz w:val="36"/>
              </w:rPr>
              <w:t>₹557.6 Cr</w:t>
            </w:r>
          </w:p>
          <w:p>
            <w:pPr>
              <w:jc w:val="center"/>
            </w:pPr>
            <w:r>
              <w:rPr>
                <w:rFonts w:ascii="Aptos" w:hAnsi="Aptos"/>
                <w:b w:val="0"/>
                <w:color w:val="5F6470"/>
                <w:sz w:val="15"/>
              </w:rPr>
              <w:t>FY25 lending &amp; insurance revenue</w:t>
            </w:r>
          </w:p>
        </w:tc>
        <w:tc>
          <w:tcPr>
            <w:tcW w:type="dxa" w:w="2613"/>
            <w:shd w:fill="F5F0FA"/>
            <w:tcMar>
              <w:top w:w="100" w:type="dxa"/>
              <w:start w:w="80" w:type="dxa"/>
              <w:bottom w:w="100" w:type="dxa"/>
              <w:end w:w="80" w:type="dxa"/>
            </w:tcMar>
            <w:vAlign w:val="center"/>
          </w:tcPr>
          <w:p>
            <w:pPr>
              <w:jc w:val="center"/>
            </w:pPr>
            <w:r>
              <w:rPr>
                <w:rFonts w:ascii="Aptos" w:hAnsi="Aptos"/>
                <w:b/>
                <w:color w:val="5F259F"/>
                <w:sz w:val="36"/>
              </w:rPr>
              <w:t>₹452.6 Cr</w:t>
            </w:r>
          </w:p>
          <w:p>
            <w:pPr>
              <w:jc w:val="center"/>
            </w:pPr>
            <w:r>
              <w:rPr>
                <w:rFonts w:ascii="Aptos" w:hAnsi="Aptos"/>
                <w:b w:val="0"/>
                <w:color w:val="5F6470"/>
                <w:sz w:val="15"/>
              </w:rPr>
              <w:t>H1FY26 lending &amp; insurance revenue</w:t>
            </w:r>
          </w:p>
        </w:tc>
      </w:tr>
    </w:tbl>
    <w:p>
      <w:pPr>
        <w:spacing w:after="20"/>
      </w:pPr>
    </w:p>
    <w:p>
      <w:pPr>
        <w:spacing w:after="80" w:line="259" w:lineRule="auto"/>
      </w:pPr>
      <w:r>
        <w:rPr>
          <w:rFonts w:ascii="Aptos" w:hAnsi="Aptos"/>
          <w:b w:val="0"/>
          <w:color w:val="1A1033"/>
          <w:sz w:val="19"/>
        </w:rPr>
        <w:t>The merchant relationship can become a distribution platform for devices, payment gateway, business tools, formalization support and partner-led lending/insurance. Eligibility should depend on transaction behavior, not just merchant registration.</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5F259F"/>
            <w:tcMar>
              <w:top w:w="70" w:type="dxa"/>
              <w:start w:w="60" w:type="dxa"/>
              <w:bottom w:w="70" w:type="dxa"/>
              <w:end w:w="60" w:type="dxa"/>
            </w:tcMar>
          </w:tcPr>
          <w:p>
            <w:r>
              <w:rPr>
                <w:rFonts w:ascii="Aptos" w:hAnsi="Aptos"/>
                <w:b/>
                <w:color w:val="FFFFFF"/>
                <w:sz w:val="16"/>
              </w:rPr>
              <w:t>Level</w:t>
            </w:r>
          </w:p>
        </w:tc>
        <w:tc>
          <w:tcPr>
            <w:tcW w:type="dxa" w:w="3485"/>
            <w:shd w:fill="5F259F"/>
            <w:tcMar>
              <w:top w:w="70" w:type="dxa"/>
              <w:start w:w="60" w:type="dxa"/>
              <w:bottom w:w="70" w:type="dxa"/>
              <w:end w:w="60" w:type="dxa"/>
            </w:tcMar>
          </w:tcPr>
          <w:p>
            <w:r>
              <w:rPr>
                <w:rFonts w:ascii="Aptos" w:hAnsi="Aptos"/>
                <w:b/>
                <w:color w:val="FFFFFF"/>
                <w:sz w:val="16"/>
              </w:rPr>
              <w:t>Merchant state</w:t>
            </w:r>
          </w:p>
        </w:tc>
        <w:tc>
          <w:tcPr>
            <w:tcW w:type="dxa" w:w="3485"/>
            <w:shd w:fill="5F259F"/>
            <w:tcMar>
              <w:top w:w="70" w:type="dxa"/>
              <w:start w:w="60" w:type="dxa"/>
              <w:bottom w:w="70" w:type="dxa"/>
              <w:end w:w="60" w:type="dxa"/>
            </w:tcMar>
          </w:tcPr>
          <w:p>
            <w:r>
              <w:rPr>
                <w:rFonts w:ascii="Aptos" w:hAnsi="Aptos"/>
                <w:b/>
                <w:color w:val="FFFFFF"/>
                <w:sz w:val="16"/>
              </w:rPr>
              <w:t>Potential next layer</w:t>
            </w:r>
          </w:p>
        </w:tc>
      </w:tr>
      <w:tr>
        <w:tc>
          <w:tcPr>
            <w:tcW w:type="dxa" w:w="3485"/>
            <w:tcMar>
              <w:top w:w="60" w:type="dxa"/>
              <w:start w:w="55" w:type="dxa"/>
              <w:bottom w:w="60" w:type="dxa"/>
              <w:end w:w="55" w:type="dxa"/>
            </w:tcMar>
          </w:tcPr>
          <w:p>
            <w:r>
              <w:rPr>
                <w:rFonts w:ascii="Aptos" w:hAnsi="Aptos"/>
                <w:b w:val="0"/>
                <w:color w:val="1A1033"/>
                <w:sz w:val="16"/>
              </w:rPr>
              <w:t>1</w:t>
            </w:r>
          </w:p>
        </w:tc>
        <w:tc>
          <w:tcPr>
            <w:tcW w:type="dxa" w:w="3485"/>
            <w:tcMar>
              <w:top w:w="60" w:type="dxa"/>
              <w:start w:w="55" w:type="dxa"/>
              <w:bottom w:w="60" w:type="dxa"/>
              <w:end w:w="55" w:type="dxa"/>
            </w:tcMar>
          </w:tcPr>
          <w:p>
            <w:r>
              <w:rPr>
                <w:rFonts w:ascii="Aptos" w:hAnsi="Aptos"/>
                <w:b w:val="0"/>
                <w:color w:val="1A1033"/>
                <w:sz w:val="16"/>
              </w:rPr>
              <w:t>QR active</w:t>
            </w:r>
          </w:p>
        </w:tc>
        <w:tc>
          <w:tcPr>
            <w:tcW w:type="dxa" w:w="3485"/>
            <w:tcMar>
              <w:top w:w="60" w:type="dxa"/>
              <w:start w:w="55" w:type="dxa"/>
              <w:bottom w:w="60" w:type="dxa"/>
              <w:end w:w="55" w:type="dxa"/>
            </w:tcMar>
          </w:tcPr>
          <w:p>
            <w:r>
              <w:rPr>
                <w:rFonts w:ascii="Aptos" w:hAnsi="Aptos"/>
                <w:b w:val="0"/>
                <w:color w:val="1A1033"/>
                <w:sz w:val="16"/>
              </w:rPr>
              <w:t>First transactions + reliability</w:t>
            </w:r>
          </w:p>
        </w:tc>
      </w:tr>
      <w:tr>
        <w:tc>
          <w:tcPr>
            <w:tcW w:type="dxa" w:w="3485"/>
            <w:tcMar>
              <w:top w:w="60" w:type="dxa"/>
              <w:start w:w="55" w:type="dxa"/>
              <w:bottom w:w="60" w:type="dxa"/>
              <w:end w:w="55" w:type="dxa"/>
            </w:tcMar>
            <w:shd w:fill="F8F5FB"/>
          </w:tcPr>
          <w:p>
            <w:r>
              <w:rPr>
                <w:rFonts w:ascii="Aptos" w:hAnsi="Aptos"/>
                <w:b w:val="0"/>
                <w:color w:val="1A1033"/>
                <w:sz w:val="16"/>
              </w:rPr>
              <w:t>2</w:t>
            </w:r>
          </w:p>
        </w:tc>
        <w:tc>
          <w:tcPr>
            <w:tcW w:type="dxa" w:w="3485"/>
            <w:tcMar>
              <w:top w:w="60" w:type="dxa"/>
              <w:start w:w="55" w:type="dxa"/>
              <w:bottom w:w="60" w:type="dxa"/>
              <w:end w:w="55" w:type="dxa"/>
            </w:tcMar>
            <w:shd w:fill="F8F5FB"/>
          </w:tcPr>
          <w:p>
            <w:r>
              <w:rPr>
                <w:rFonts w:ascii="Aptos" w:hAnsi="Aptos"/>
                <w:b w:val="0"/>
                <w:color w:val="1A1033"/>
                <w:sz w:val="16"/>
              </w:rPr>
              <w:t>Retained merchant</w:t>
            </w:r>
          </w:p>
        </w:tc>
        <w:tc>
          <w:tcPr>
            <w:tcW w:type="dxa" w:w="3485"/>
            <w:tcMar>
              <w:top w:w="60" w:type="dxa"/>
              <w:start w:w="55" w:type="dxa"/>
              <w:bottom w:w="60" w:type="dxa"/>
              <w:end w:w="55" w:type="dxa"/>
            </w:tcMar>
            <w:shd w:fill="F8F5FB"/>
          </w:tcPr>
          <w:p>
            <w:r>
              <w:rPr>
                <w:rFonts w:ascii="Aptos" w:hAnsi="Aptos"/>
                <w:b w:val="0"/>
                <w:color w:val="1A1033"/>
                <w:sz w:val="16"/>
              </w:rPr>
              <w:t>Stable TPAM / active days</w:t>
            </w:r>
          </w:p>
        </w:tc>
      </w:tr>
      <w:tr>
        <w:tc>
          <w:tcPr>
            <w:tcW w:type="dxa" w:w="3485"/>
            <w:tcMar>
              <w:top w:w="60" w:type="dxa"/>
              <w:start w:w="55" w:type="dxa"/>
              <w:bottom w:w="60" w:type="dxa"/>
              <w:end w:w="55" w:type="dxa"/>
            </w:tcMar>
          </w:tcPr>
          <w:p>
            <w:r>
              <w:rPr>
                <w:rFonts w:ascii="Aptos" w:hAnsi="Aptos"/>
                <w:b w:val="0"/>
                <w:color w:val="1A1033"/>
                <w:sz w:val="16"/>
              </w:rPr>
              <w:t>3</w:t>
            </w:r>
          </w:p>
        </w:tc>
        <w:tc>
          <w:tcPr>
            <w:tcW w:type="dxa" w:w="3485"/>
            <w:tcMar>
              <w:top w:w="60" w:type="dxa"/>
              <w:start w:w="55" w:type="dxa"/>
              <w:bottom w:w="60" w:type="dxa"/>
              <w:end w:w="55" w:type="dxa"/>
            </w:tcMar>
          </w:tcPr>
          <w:p>
            <w:r>
              <w:rPr>
                <w:rFonts w:ascii="Aptos" w:hAnsi="Aptos"/>
                <w:b w:val="0"/>
                <w:color w:val="1A1033"/>
                <w:sz w:val="16"/>
              </w:rPr>
              <w:t>High-frequency</w:t>
            </w:r>
          </w:p>
        </w:tc>
        <w:tc>
          <w:tcPr>
            <w:tcW w:type="dxa" w:w="3485"/>
            <w:tcMar>
              <w:top w:w="60" w:type="dxa"/>
              <w:start w:w="55" w:type="dxa"/>
              <w:bottom w:w="60" w:type="dxa"/>
              <w:end w:w="55" w:type="dxa"/>
            </w:tcMar>
          </w:tcPr>
          <w:p>
            <w:r>
              <w:rPr>
                <w:rFonts w:ascii="Aptos" w:hAnsi="Aptos"/>
                <w:b w:val="0"/>
                <w:color w:val="1A1033"/>
                <w:sz w:val="16"/>
              </w:rPr>
              <w:t>Device / reconciliation tools</w:t>
            </w:r>
          </w:p>
        </w:tc>
      </w:tr>
      <w:tr>
        <w:tc>
          <w:tcPr>
            <w:tcW w:type="dxa" w:w="3485"/>
            <w:tcMar>
              <w:top w:w="60" w:type="dxa"/>
              <w:start w:w="55" w:type="dxa"/>
              <w:bottom w:w="60" w:type="dxa"/>
              <w:end w:w="55" w:type="dxa"/>
            </w:tcMar>
            <w:shd w:fill="F8F5FB"/>
          </w:tcPr>
          <w:p>
            <w:r>
              <w:rPr>
                <w:rFonts w:ascii="Aptos" w:hAnsi="Aptos"/>
                <w:b w:val="0"/>
                <w:color w:val="1A1033"/>
                <w:sz w:val="16"/>
              </w:rPr>
              <w:t>4</w:t>
            </w:r>
          </w:p>
        </w:tc>
        <w:tc>
          <w:tcPr>
            <w:tcW w:type="dxa" w:w="3485"/>
            <w:tcMar>
              <w:top w:w="60" w:type="dxa"/>
              <w:start w:w="55" w:type="dxa"/>
              <w:bottom w:w="60" w:type="dxa"/>
              <w:end w:w="55" w:type="dxa"/>
            </w:tcMar>
            <w:shd w:fill="F8F5FB"/>
          </w:tcPr>
          <w:p>
            <w:r>
              <w:rPr>
                <w:rFonts w:ascii="Aptos" w:hAnsi="Aptos"/>
                <w:b w:val="0"/>
                <w:color w:val="1A1033"/>
                <w:sz w:val="16"/>
              </w:rPr>
              <w:t>Business depth</w:t>
            </w:r>
          </w:p>
        </w:tc>
        <w:tc>
          <w:tcPr>
            <w:tcW w:type="dxa" w:w="3485"/>
            <w:tcMar>
              <w:top w:w="60" w:type="dxa"/>
              <w:start w:w="55" w:type="dxa"/>
              <w:bottom w:w="60" w:type="dxa"/>
              <w:end w:w="55" w:type="dxa"/>
            </w:tcMar>
            <w:shd w:fill="F8F5FB"/>
          </w:tcPr>
          <w:p>
            <w:r>
              <w:rPr>
                <w:rFonts w:ascii="Aptos" w:hAnsi="Aptos"/>
                <w:b w:val="0"/>
                <w:color w:val="1A1033"/>
                <w:sz w:val="16"/>
              </w:rPr>
              <w:t>Udyam / payment gateway / settlement services</w:t>
            </w:r>
          </w:p>
        </w:tc>
      </w:tr>
      <w:tr>
        <w:tc>
          <w:tcPr>
            <w:tcW w:type="dxa" w:w="3485"/>
            <w:tcMar>
              <w:top w:w="60" w:type="dxa"/>
              <w:start w:w="55" w:type="dxa"/>
              <w:bottom w:w="60" w:type="dxa"/>
              <w:end w:w="55" w:type="dxa"/>
            </w:tcMar>
          </w:tcPr>
          <w:p>
            <w:r>
              <w:rPr>
                <w:rFonts w:ascii="Aptos" w:hAnsi="Aptos"/>
                <w:b w:val="0"/>
                <w:color w:val="1A1033"/>
                <w:sz w:val="16"/>
              </w:rPr>
              <w:t>5</w:t>
            </w:r>
          </w:p>
        </w:tc>
        <w:tc>
          <w:tcPr>
            <w:tcW w:type="dxa" w:w="3485"/>
            <w:tcMar>
              <w:top w:w="60" w:type="dxa"/>
              <w:start w:w="55" w:type="dxa"/>
              <w:bottom w:w="60" w:type="dxa"/>
              <w:end w:w="55" w:type="dxa"/>
            </w:tcMar>
          </w:tcPr>
          <w:p>
            <w:r>
              <w:rPr>
                <w:rFonts w:ascii="Aptos" w:hAnsi="Aptos"/>
                <w:b w:val="0"/>
                <w:color w:val="1A1033"/>
                <w:sz w:val="16"/>
              </w:rPr>
              <w:t>Financial eligibility</w:t>
            </w:r>
          </w:p>
        </w:tc>
        <w:tc>
          <w:tcPr>
            <w:tcW w:type="dxa" w:w="3485"/>
            <w:tcMar>
              <w:top w:w="60" w:type="dxa"/>
              <w:start w:w="55" w:type="dxa"/>
              <w:bottom w:w="60" w:type="dxa"/>
              <w:end w:w="55" w:type="dxa"/>
            </w:tcMar>
          </w:tcPr>
          <w:p>
            <w:r>
              <w:rPr>
                <w:rFonts w:ascii="Aptos" w:hAnsi="Aptos"/>
                <w:b w:val="0"/>
                <w:color w:val="1A1033"/>
                <w:sz w:val="16"/>
              </w:rPr>
              <w:t>Partner lending / insurance where suitable</w:t>
            </w:r>
          </w:p>
        </w:tc>
      </w:tr>
    </w:tbl>
    <w:p>
      <w:pPr>
        <w:spacing w:after="40"/>
      </w:pPr>
    </w:p>
    <w:p>
      <w:r>
        <w:br w:type="page"/>
      </w:r>
    </w:p>
    <w:p>
      <w:r>
        <w:rPr>
          <w:rFonts w:ascii="Aptos" w:hAnsi="Aptos"/>
          <w:b/>
          <w:color w:val="5F259F"/>
          <w:sz w:val="48"/>
        </w:rPr>
        <w:t>16  Workstream D - Bharat Access / UPI 123Pay</w:t>
      </w:r>
    </w:p>
    <w:p>
      <w:r>
        <w:rPr>
          <w:rFonts w:ascii="Aptos" w:hAnsi="Aptos"/>
          <w:b w:val="0"/>
          <w:color w:val="5F6470"/>
          <w:sz w:val="22"/>
        </w:rPr>
        <w:t>The next growth frontier should be measured as active digital inclusion.</w:t>
      </w:r>
    </w:p>
    <w:tbl>
      <w:tblPr>
        <w:tblW w:type="auto" w:w="0"/>
        <w:jc w:val="center"/>
        <w:tblLayout w:type="autofit"/>
        <w:tblLook w:firstColumn="1" w:firstRow="1" w:lastColumn="0" w:lastRow="0" w:noHBand="0" w:noVBand="1" w:val="04A0"/>
      </w:tblPr>
      <w:tblGrid>
        <w:gridCol w:w="2613"/>
        <w:gridCol w:w="2613"/>
        <w:gridCol w:w="2613"/>
        <w:gridCol w:w="2613"/>
      </w:tblGrid>
      <w:tr>
        <w:tc>
          <w:tcPr>
            <w:tcW w:type="dxa" w:w="2613"/>
            <w:shd w:fill="F5F0FA"/>
            <w:tcMar>
              <w:top w:w="100" w:type="dxa"/>
              <w:start w:w="80" w:type="dxa"/>
              <w:bottom w:w="100" w:type="dxa"/>
              <w:end w:w="80" w:type="dxa"/>
            </w:tcMar>
            <w:vAlign w:val="center"/>
          </w:tcPr>
          <w:p>
            <w:pPr>
              <w:jc w:val="center"/>
            </w:pPr>
            <w:r>
              <w:rPr>
                <w:rFonts w:ascii="Aptos" w:hAnsi="Aptos"/>
                <w:b/>
                <w:color w:val="5F259F"/>
                <w:sz w:val="36"/>
              </w:rPr>
              <w:t>200M+</w:t>
            </w:r>
          </w:p>
          <w:p>
            <w:pPr>
              <w:jc w:val="center"/>
            </w:pPr>
            <w:r>
              <w:rPr>
                <w:rFonts w:ascii="Aptos" w:hAnsi="Aptos"/>
                <w:b w:val="0"/>
                <w:color w:val="5F6470"/>
                <w:sz w:val="15"/>
              </w:rPr>
              <w:t>feature-phone users cited by PhonePe</w:t>
            </w:r>
          </w:p>
        </w:tc>
        <w:tc>
          <w:tcPr>
            <w:tcW w:type="dxa" w:w="2613"/>
            <w:shd w:fill="F5F0FA"/>
            <w:tcMar>
              <w:top w:w="100" w:type="dxa"/>
              <w:start w:w="80" w:type="dxa"/>
              <w:bottom w:w="100" w:type="dxa"/>
              <w:end w:w="80" w:type="dxa"/>
            </w:tcMar>
            <w:vAlign w:val="center"/>
          </w:tcPr>
          <w:p>
            <w:pPr>
              <w:jc w:val="center"/>
            </w:pPr>
            <w:r>
              <w:rPr>
                <w:rFonts w:ascii="Aptos" w:hAnsi="Aptos"/>
                <w:b/>
                <w:color w:val="5F259F"/>
                <w:sz w:val="36"/>
              </w:rPr>
              <w:t>No internet</w:t>
            </w:r>
          </w:p>
          <w:p>
            <w:pPr>
              <w:jc w:val="center"/>
            </w:pPr>
            <w:r>
              <w:rPr>
                <w:rFonts w:ascii="Aptos" w:hAnsi="Aptos"/>
                <w:b w:val="0"/>
                <w:color w:val="5F6470"/>
                <w:sz w:val="15"/>
              </w:rPr>
              <w:t>SMS-based UPI architecture</w:t>
            </w:r>
          </w:p>
        </w:tc>
        <w:tc>
          <w:tcPr>
            <w:tcW w:type="dxa" w:w="2613"/>
            <w:shd w:fill="F5F0FA"/>
            <w:tcMar>
              <w:top w:w="100" w:type="dxa"/>
              <w:start w:w="80" w:type="dxa"/>
              <w:bottom w:w="100" w:type="dxa"/>
              <w:end w:w="80" w:type="dxa"/>
            </w:tcMar>
            <w:vAlign w:val="center"/>
          </w:tcPr>
          <w:p>
            <w:pPr>
              <w:jc w:val="center"/>
            </w:pPr>
            <w:r>
              <w:rPr>
                <w:rFonts w:ascii="Aptos" w:hAnsi="Aptos"/>
                <w:b/>
                <w:color w:val="5F259F"/>
                <w:sz w:val="36"/>
              </w:rPr>
              <w:t>12</w:t>
            </w:r>
          </w:p>
          <w:p>
            <w:pPr>
              <w:jc w:val="center"/>
            </w:pPr>
            <w:r>
              <w:rPr>
                <w:rFonts w:ascii="Aptos" w:hAnsi="Aptos"/>
                <w:b w:val="0"/>
                <w:color w:val="5F6470"/>
                <w:sz w:val="15"/>
              </w:rPr>
              <w:t>Indian-language voice support + English</w:t>
            </w:r>
          </w:p>
        </w:tc>
        <w:tc>
          <w:tcPr>
            <w:tcW w:type="dxa" w:w="2613"/>
            <w:shd w:fill="F5F0FA"/>
            <w:tcMar>
              <w:top w:w="100" w:type="dxa"/>
              <w:start w:w="80" w:type="dxa"/>
              <w:bottom w:w="100" w:type="dxa"/>
              <w:end w:w="80" w:type="dxa"/>
            </w:tcMar>
            <w:vAlign w:val="center"/>
          </w:tcPr>
          <w:p>
            <w:pPr>
              <w:jc w:val="center"/>
            </w:pPr>
            <w:r>
              <w:rPr>
                <w:rFonts w:ascii="Aptos" w:hAnsi="Aptos"/>
                <w:b/>
                <w:color w:val="5F259F"/>
                <w:sz w:val="36"/>
              </w:rPr>
              <w:t>31 Aug 2026</w:t>
            </w:r>
          </w:p>
          <w:p>
            <w:pPr>
              <w:jc w:val="center"/>
            </w:pPr>
            <w:r>
              <w:rPr>
                <w:rFonts w:ascii="Aptos" w:hAnsi="Aptos"/>
                <w:b w:val="0"/>
                <w:color w:val="5F6470"/>
                <w:sz w:val="15"/>
              </w:rPr>
              <w:t>launch date</w:t>
            </w:r>
          </w:p>
        </w:tc>
      </w:tr>
    </w:tbl>
    <w:p>
      <w:pPr>
        <w:spacing w:after="20"/>
      </w:pPr>
    </w:p>
    <w:p>
      <w:pPr>
        <w:jc w:val="center"/>
      </w:pPr>
      <w:r>
        <w:drawing>
          <wp:inline xmlns:a="http://schemas.openxmlformats.org/drawingml/2006/main" xmlns:pic="http://schemas.openxmlformats.org/drawingml/2006/picture">
            <wp:extent cx="5852160" cy="3307199"/>
            <wp:docPr id="12" name="Picture 12"/>
            <wp:cNvGraphicFramePr>
              <a:graphicFrameLocks noChangeAspect="1"/>
            </wp:cNvGraphicFramePr>
            <a:graphic>
              <a:graphicData uri="http://schemas.openxmlformats.org/drawingml/2006/picture">
                <pic:pic>
                  <pic:nvPicPr>
                    <pic:cNvPr id="0" name="feature_phone_impact.png"/>
                    <pic:cNvPicPr/>
                  </pic:nvPicPr>
                  <pic:blipFill>
                    <a:blip r:embed="rId21"/>
                    <a:stretch>
                      <a:fillRect/>
                    </a:stretch>
                  </pic:blipFill>
                  <pic:spPr>
                    <a:xfrm>
                      <a:off x="0" y="0"/>
                      <a:ext cx="5852160" cy="3307199"/>
                    </a:xfrm>
                    <a:prstGeom prst="rect"/>
                  </pic:spPr>
                </pic:pic>
              </a:graphicData>
            </a:graphic>
          </wp:inline>
        </w:drawing>
      </w:r>
    </w:p>
    <w:p>
      <w:pPr>
        <w:jc w:val="center"/>
      </w:pPr>
      <w:r>
        <w:rPr>
          <w:rFonts w:ascii="Aptos" w:hAnsi="Aptos"/>
          <w:b w:val="0"/>
          <w:color w:val="5F6470"/>
          <w:sz w:val="14"/>
        </w:rPr>
        <w:t>MODELED: assumes 8 transactions/month per activated user. Addressable base is a reported PhonePe figure; adoption and usage assumptions are scenarios.</w:t>
      </w:r>
    </w:p>
    <w:p>
      <w:pPr>
        <w:spacing w:after="80" w:line="259" w:lineRule="auto"/>
      </w:pPr>
      <w:r>
        <w:rPr>
          <w:rFonts w:ascii="Aptos" w:hAnsi="Aptos"/>
          <w:b w:val="0"/>
          <w:color w:val="1A1033"/>
          <w:sz w:val="19"/>
        </w:rPr>
        <w:t>The correct funnel is OEM/pre-bundle → registration → bank linking/PIN setup → first successful payment → D30 retained payer → recurring merchant/P2P use. A pre-installed app without activation is not payments growth.</w:t>
      </w:r>
    </w:p>
    <w:p>
      <w:r>
        <w:br w:type="page"/>
      </w:r>
    </w:p>
    <w:p>
      <w:r>
        <w:rPr>
          <w:rFonts w:ascii="Aptos" w:hAnsi="Aptos"/>
          <w:b/>
          <w:color w:val="5F259F"/>
          <w:sz w:val="48"/>
        </w:rPr>
        <w:t>17  Experimentation Operating System</w:t>
      </w:r>
    </w:p>
    <w:p>
      <w:r>
        <w:rPr>
          <w:rFonts w:ascii="Aptos" w:hAnsi="Aptos"/>
          <w:b w:val="0"/>
          <w:color w:val="5F6470"/>
          <w:sz w:val="22"/>
        </w:rPr>
        <w:t>Each growth idea needs an explicit causal test, guardrails and kill rule.</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shd w:fill="5F259F"/>
            <w:tcMar>
              <w:top w:w="70" w:type="dxa"/>
              <w:start w:w="60" w:type="dxa"/>
              <w:bottom w:w="70" w:type="dxa"/>
              <w:end w:w="60" w:type="dxa"/>
            </w:tcMar>
          </w:tcPr>
          <w:p>
            <w:r>
              <w:rPr>
                <w:rFonts w:ascii="Aptos" w:hAnsi="Aptos"/>
                <w:b/>
                <w:color w:val="FFFFFF"/>
                <w:sz w:val="14"/>
              </w:rPr>
              <w:t>Test</w:t>
            </w:r>
          </w:p>
        </w:tc>
        <w:tc>
          <w:tcPr>
            <w:tcW w:type="dxa" w:w="2613"/>
            <w:shd w:fill="5F259F"/>
            <w:tcMar>
              <w:top w:w="70" w:type="dxa"/>
              <w:start w:w="60" w:type="dxa"/>
              <w:bottom w:w="70" w:type="dxa"/>
              <w:end w:w="60" w:type="dxa"/>
            </w:tcMar>
          </w:tcPr>
          <w:p>
            <w:r>
              <w:rPr>
                <w:rFonts w:ascii="Aptos" w:hAnsi="Aptos"/>
                <w:b/>
                <w:color w:val="FFFFFF"/>
                <w:sz w:val="14"/>
              </w:rPr>
              <w:t>Population</w:t>
            </w:r>
          </w:p>
        </w:tc>
        <w:tc>
          <w:tcPr>
            <w:tcW w:type="dxa" w:w="2613"/>
            <w:shd w:fill="5F259F"/>
            <w:tcMar>
              <w:top w:w="70" w:type="dxa"/>
              <w:start w:w="60" w:type="dxa"/>
              <w:bottom w:w="70" w:type="dxa"/>
              <w:end w:w="60" w:type="dxa"/>
            </w:tcMar>
          </w:tcPr>
          <w:p>
            <w:r>
              <w:rPr>
                <w:rFonts w:ascii="Aptos" w:hAnsi="Aptos"/>
                <w:b/>
                <w:color w:val="FFFFFF"/>
                <w:sz w:val="14"/>
              </w:rPr>
              <w:t>Primary</w:t>
            </w:r>
          </w:p>
        </w:tc>
        <w:tc>
          <w:tcPr>
            <w:tcW w:type="dxa" w:w="2613"/>
            <w:shd w:fill="5F259F"/>
            <w:tcMar>
              <w:top w:w="70" w:type="dxa"/>
              <w:start w:w="60" w:type="dxa"/>
              <w:bottom w:w="70" w:type="dxa"/>
              <w:end w:w="60" w:type="dxa"/>
            </w:tcMar>
          </w:tcPr>
          <w:p>
            <w:r>
              <w:rPr>
                <w:rFonts w:ascii="Aptos" w:hAnsi="Aptos"/>
                <w:b/>
                <w:color w:val="FFFFFF"/>
                <w:sz w:val="14"/>
              </w:rPr>
              <w:t>Guardrails</w:t>
            </w:r>
          </w:p>
        </w:tc>
      </w:tr>
      <w:tr>
        <w:tc>
          <w:tcPr>
            <w:tcW w:type="dxa" w:w="2613"/>
            <w:tcMar>
              <w:top w:w="60" w:type="dxa"/>
              <w:start w:w="55" w:type="dxa"/>
              <w:bottom w:w="60" w:type="dxa"/>
              <w:end w:w="55" w:type="dxa"/>
            </w:tcMar>
          </w:tcPr>
          <w:p>
            <w:r>
              <w:rPr>
                <w:rFonts w:ascii="Aptos" w:hAnsi="Aptos"/>
                <w:b w:val="0"/>
                <w:color w:val="1A1033"/>
                <w:sz w:val="14"/>
              </w:rPr>
              <w:t>Merchant Launchpad</w:t>
            </w:r>
          </w:p>
        </w:tc>
        <w:tc>
          <w:tcPr>
            <w:tcW w:type="dxa" w:w="2613"/>
            <w:tcMar>
              <w:top w:w="60" w:type="dxa"/>
              <w:start w:w="55" w:type="dxa"/>
              <w:bottom w:w="60" w:type="dxa"/>
              <w:end w:w="55" w:type="dxa"/>
            </w:tcMar>
          </w:tcPr>
          <w:p>
            <w:r>
              <w:rPr>
                <w:rFonts w:ascii="Aptos" w:hAnsi="Aptos"/>
                <w:b w:val="0"/>
                <w:color w:val="1A1033"/>
                <w:sz w:val="14"/>
              </w:rPr>
              <w:t>New merchants</w:t>
            </w:r>
          </w:p>
        </w:tc>
        <w:tc>
          <w:tcPr>
            <w:tcW w:type="dxa" w:w="2613"/>
            <w:tcMar>
              <w:top w:w="60" w:type="dxa"/>
              <w:start w:w="55" w:type="dxa"/>
              <w:bottom w:w="60" w:type="dxa"/>
              <w:end w:w="55" w:type="dxa"/>
            </w:tcMar>
          </w:tcPr>
          <w:p>
            <w:r>
              <w:rPr>
                <w:rFonts w:ascii="Aptos" w:hAnsi="Aptos"/>
                <w:b w:val="0"/>
                <w:color w:val="1A1033"/>
                <w:sz w:val="14"/>
              </w:rPr>
              <w:t>30D retained merchant</w:t>
            </w:r>
          </w:p>
        </w:tc>
        <w:tc>
          <w:tcPr>
            <w:tcW w:type="dxa" w:w="2613"/>
            <w:tcMar>
              <w:top w:w="60" w:type="dxa"/>
              <w:start w:w="55" w:type="dxa"/>
              <w:bottom w:w="60" w:type="dxa"/>
              <w:end w:w="55" w:type="dxa"/>
            </w:tcMar>
          </w:tcPr>
          <w:p>
            <w:r>
              <w:rPr>
                <w:rFonts w:ascii="Aptos" w:hAnsi="Aptos"/>
                <w:b w:val="0"/>
                <w:color w:val="1A1033"/>
                <w:sz w:val="14"/>
              </w:rPr>
              <w:t>fraud; cost/retained; support</w:t>
            </w:r>
          </w:p>
        </w:tc>
      </w:tr>
      <w:tr>
        <w:tc>
          <w:tcPr>
            <w:tcW w:type="dxa" w:w="2613"/>
            <w:tcMar>
              <w:top w:w="60" w:type="dxa"/>
              <w:start w:w="55" w:type="dxa"/>
              <w:bottom w:w="60" w:type="dxa"/>
              <w:end w:w="55" w:type="dxa"/>
            </w:tcMar>
            <w:shd w:fill="F8F5FB"/>
          </w:tcPr>
          <w:p>
            <w:r>
              <w:rPr>
                <w:rFonts w:ascii="Aptos" w:hAnsi="Aptos"/>
                <w:b w:val="0"/>
                <w:color w:val="1A1033"/>
                <w:sz w:val="14"/>
              </w:rPr>
              <w:t>First-payment nudge</w:t>
            </w:r>
          </w:p>
        </w:tc>
        <w:tc>
          <w:tcPr>
            <w:tcW w:type="dxa" w:w="2613"/>
            <w:tcMar>
              <w:top w:w="60" w:type="dxa"/>
              <w:start w:w="55" w:type="dxa"/>
              <w:bottom w:w="60" w:type="dxa"/>
              <w:end w:w="55" w:type="dxa"/>
            </w:tcMar>
            <w:shd w:fill="F8F5FB"/>
          </w:tcPr>
          <w:p>
            <w:r>
              <w:rPr>
                <w:rFonts w:ascii="Aptos" w:hAnsi="Aptos"/>
                <w:b w:val="0"/>
                <w:color w:val="1A1033"/>
                <w:sz w:val="14"/>
              </w:rPr>
              <w:t>QR ready / zero transaction</w:t>
            </w:r>
          </w:p>
        </w:tc>
        <w:tc>
          <w:tcPr>
            <w:tcW w:type="dxa" w:w="2613"/>
            <w:tcMar>
              <w:top w:w="60" w:type="dxa"/>
              <w:start w:w="55" w:type="dxa"/>
              <w:bottom w:w="60" w:type="dxa"/>
              <w:end w:w="55" w:type="dxa"/>
            </w:tcMar>
            <w:shd w:fill="F8F5FB"/>
          </w:tcPr>
          <w:p>
            <w:r>
              <w:rPr>
                <w:rFonts w:ascii="Aptos" w:hAnsi="Aptos"/>
                <w:b w:val="0"/>
                <w:color w:val="1A1033"/>
                <w:sz w:val="14"/>
              </w:rPr>
              <w:t>7D first payment</w:t>
            </w:r>
          </w:p>
        </w:tc>
        <w:tc>
          <w:tcPr>
            <w:tcW w:type="dxa" w:w="2613"/>
            <w:tcMar>
              <w:top w:w="60" w:type="dxa"/>
              <w:start w:w="55" w:type="dxa"/>
              <w:bottom w:w="60" w:type="dxa"/>
              <w:end w:w="55" w:type="dxa"/>
            </w:tcMar>
            <w:shd w:fill="F8F5FB"/>
          </w:tcPr>
          <w:p>
            <w:r>
              <w:rPr>
                <w:rFonts w:ascii="Aptos" w:hAnsi="Aptos"/>
                <w:b w:val="0"/>
                <w:color w:val="1A1033"/>
                <w:sz w:val="14"/>
              </w:rPr>
              <w:t>opt-out; support</w:t>
            </w:r>
          </w:p>
        </w:tc>
      </w:tr>
      <w:tr>
        <w:tc>
          <w:tcPr>
            <w:tcW w:type="dxa" w:w="2613"/>
            <w:tcMar>
              <w:top w:w="60" w:type="dxa"/>
              <w:start w:w="55" w:type="dxa"/>
              <w:bottom w:w="60" w:type="dxa"/>
              <w:end w:w="55" w:type="dxa"/>
            </w:tcMar>
          </w:tcPr>
          <w:p>
            <w:r>
              <w:rPr>
                <w:rFonts w:ascii="Aptos" w:hAnsi="Aptos"/>
                <w:b w:val="0"/>
                <w:color w:val="1A1033"/>
                <w:sz w:val="14"/>
              </w:rPr>
              <w:t>Device eligibility</w:t>
            </w:r>
          </w:p>
        </w:tc>
        <w:tc>
          <w:tcPr>
            <w:tcW w:type="dxa" w:w="2613"/>
            <w:tcMar>
              <w:top w:w="60" w:type="dxa"/>
              <w:start w:w="55" w:type="dxa"/>
              <w:bottom w:w="60" w:type="dxa"/>
              <w:end w:w="55" w:type="dxa"/>
            </w:tcMar>
          </w:tcPr>
          <w:p>
            <w:r>
              <w:rPr>
                <w:rFonts w:ascii="Aptos" w:hAnsi="Aptos"/>
                <w:b w:val="0"/>
                <w:color w:val="1A1033"/>
                <w:sz w:val="14"/>
              </w:rPr>
              <w:t>High-TPAM non-device</w:t>
            </w:r>
          </w:p>
        </w:tc>
        <w:tc>
          <w:tcPr>
            <w:tcW w:type="dxa" w:w="2613"/>
            <w:tcMar>
              <w:top w:w="60" w:type="dxa"/>
              <w:start w:w="55" w:type="dxa"/>
              <w:bottom w:w="60" w:type="dxa"/>
              <w:end w:w="55" w:type="dxa"/>
            </w:tcMar>
          </w:tcPr>
          <w:p>
            <w:r>
              <w:rPr>
                <w:rFonts w:ascii="Aptos" w:hAnsi="Aptos"/>
                <w:b w:val="0"/>
                <w:color w:val="1A1033"/>
                <w:sz w:val="14"/>
              </w:rPr>
              <w:t>incremental TPAM + revenue</w:t>
            </w:r>
          </w:p>
        </w:tc>
        <w:tc>
          <w:tcPr>
            <w:tcW w:type="dxa" w:w="2613"/>
            <w:tcMar>
              <w:top w:w="60" w:type="dxa"/>
              <w:start w:w="55" w:type="dxa"/>
              <w:bottom w:w="60" w:type="dxa"/>
              <w:end w:w="55" w:type="dxa"/>
            </w:tcMar>
          </w:tcPr>
          <w:p>
            <w:r>
              <w:rPr>
                <w:rFonts w:ascii="Aptos" w:hAnsi="Aptos"/>
                <w:b w:val="0"/>
                <w:color w:val="1A1033"/>
                <w:sz w:val="14"/>
              </w:rPr>
              <w:t>device inactivity; churn</w:t>
            </w:r>
          </w:p>
        </w:tc>
      </w:tr>
      <w:tr>
        <w:tc>
          <w:tcPr>
            <w:tcW w:type="dxa" w:w="2613"/>
            <w:tcMar>
              <w:top w:w="60" w:type="dxa"/>
              <w:start w:w="55" w:type="dxa"/>
              <w:bottom w:w="60" w:type="dxa"/>
              <w:end w:w="55" w:type="dxa"/>
            </w:tcMar>
            <w:shd w:fill="F8F5FB"/>
          </w:tcPr>
          <w:p>
            <w:r>
              <w:rPr>
                <w:rFonts w:ascii="Aptos" w:hAnsi="Aptos"/>
                <w:b w:val="0"/>
                <w:color w:val="1A1033"/>
                <w:sz w:val="14"/>
              </w:rPr>
              <w:t>Habit Ladder</w:t>
            </w:r>
          </w:p>
        </w:tc>
        <w:tc>
          <w:tcPr>
            <w:tcW w:type="dxa" w:w="2613"/>
            <w:tcMar>
              <w:top w:w="60" w:type="dxa"/>
              <w:start w:w="55" w:type="dxa"/>
              <w:bottom w:w="60" w:type="dxa"/>
              <w:end w:w="55" w:type="dxa"/>
            </w:tcMar>
            <w:shd w:fill="F8F5FB"/>
          </w:tcPr>
          <w:p>
            <w:r>
              <w:rPr>
                <w:rFonts w:ascii="Aptos" w:hAnsi="Aptos"/>
                <w:b w:val="0"/>
                <w:color w:val="1A1033"/>
                <w:sz w:val="14"/>
              </w:rPr>
              <w:t>Developing customers</w:t>
            </w:r>
          </w:p>
        </w:tc>
        <w:tc>
          <w:tcPr>
            <w:tcW w:type="dxa" w:w="2613"/>
            <w:tcMar>
              <w:top w:w="60" w:type="dxa"/>
              <w:start w:w="55" w:type="dxa"/>
              <w:bottom w:w="60" w:type="dxa"/>
              <w:end w:w="55" w:type="dxa"/>
            </w:tcMar>
            <w:shd w:fill="F8F5FB"/>
          </w:tcPr>
          <w:p>
            <w:r>
              <w:rPr>
                <w:rFonts w:ascii="Aptos" w:hAnsi="Aptos"/>
                <w:b w:val="0"/>
                <w:color w:val="1A1033"/>
                <w:sz w:val="14"/>
              </w:rPr>
              <w:t>habitual conversion</w:t>
            </w:r>
          </w:p>
        </w:tc>
        <w:tc>
          <w:tcPr>
            <w:tcW w:type="dxa" w:w="2613"/>
            <w:tcMar>
              <w:top w:w="60" w:type="dxa"/>
              <w:start w:w="55" w:type="dxa"/>
              <w:bottom w:w="60" w:type="dxa"/>
              <w:end w:w="55" w:type="dxa"/>
            </w:tcMar>
            <w:shd w:fill="F8F5FB"/>
          </w:tcPr>
          <w:p>
            <w:r>
              <w:rPr>
                <w:rFonts w:ascii="Aptos" w:hAnsi="Aptos"/>
                <w:b w:val="0"/>
                <w:color w:val="1A1033"/>
                <w:sz w:val="14"/>
              </w:rPr>
              <w:t>success; spam; disputes</w:t>
            </w:r>
          </w:p>
        </w:tc>
      </w:tr>
      <w:tr>
        <w:tc>
          <w:tcPr>
            <w:tcW w:type="dxa" w:w="2613"/>
            <w:tcMar>
              <w:top w:w="60" w:type="dxa"/>
              <w:start w:w="55" w:type="dxa"/>
              <w:bottom w:w="60" w:type="dxa"/>
              <w:end w:w="55" w:type="dxa"/>
            </w:tcMar>
          </w:tcPr>
          <w:p>
            <w:r>
              <w:rPr>
                <w:rFonts w:ascii="Aptos" w:hAnsi="Aptos"/>
                <w:b w:val="0"/>
                <w:color w:val="1A1033"/>
                <w:sz w:val="14"/>
              </w:rPr>
              <w:t>123Pay onboarding</w:t>
            </w:r>
          </w:p>
        </w:tc>
        <w:tc>
          <w:tcPr>
            <w:tcW w:type="dxa" w:w="2613"/>
            <w:tcMar>
              <w:top w:w="60" w:type="dxa"/>
              <w:start w:w="55" w:type="dxa"/>
              <w:bottom w:w="60" w:type="dxa"/>
              <w:end w:w="55" w:type="dxa"/>
            </w:tcMar>
          </w:tcPr>
          <w:p>
            <w:r>
              <w:rPr>
                <w:rFonts w:ascii="Aptos" w:hAnsi="Aptos"/>
                <w:b w:val="0"/>
                <w:color w:val="1A1033"/>
                <w:sz w:val="14"/>
              </w:rPr>
              <w:t>Feature-phone users</w:t>
            </w:r>
          </w:p>
        </w:tc>
        <w:tc>
          <w:tcPr>
            <w:tcW w:type="dxa" w:w="2613"/>
            <w:tcMar>
              <w:top w:w="60" w:type="dxa"/>
              <w:start w:w="55" w:type="dxa"/>
              <w:bottom w:w="60" w:type="dxa"/>
              <w:end w:w="55" w:type="dxa"/>
            </w:tcMar>
          </w:tcPr>
          <w:p>
            <w:r>
              <w:rPr>
                <w:rFonts w:ascii="Aptos" w:hAnsi="Aptos"/>
                <w:b w:val="0"/>
                <w:color w:val="1A1033"/>
                <w:sz w:val="14"/>
              </w:rPr>
              <w:t>30D active payer</w:t>
            </w:r>
          </w:p>
        </w:tc>
        <w:tc>
          <w:tcPr>
            <w:tcW w:type="dxa" w:w="2613"/>
            <w:tcMar>
              <w:top w:w="60" w:type="dxa"/>
              <w:start w:w="55" w:type="dxa"/>
              <w:bottom w:w="60" w:type="dxa"/>
              <w:end w:w="55" w:type="dxa"/>
            </w:tcMar>
          </w:tcPr>
          <w:p>
            <w:r>
              <w:rPr>
                <w:rFonts w:ascii="Aptos" w:hAnsi="Aptos"/>
                <w:b w:val="0"/>
                <w:color w:val="1A1033"/>
                <w:sz w:val="14"/>
              </w:rPr>
              <w:t>setup failure; support</w:t>
            </w:r>
          </w:p>
        </w:tc>
      </w:tr>
    </w:tbl>
    <w:p>
      <w:pPr>
        <w:spacing w:after="40"/>
      </w:pPr>
    </w:p>
    <w:tbl>
      <w:tblPr>
        <w:tblW w:type="auto" w:w="0"/>
        <w:tblLook w:firstColumn="1" w:firstRow="1" w:lastColumn="0" w:lastRow="0" w:noHBand="0" w:noVBand="1" w:val="04A0"/>
      </w:tblPr>
      <w:tblGrid>
        <w:gridCol w:w="10454"/>
      </w:tblGrid>
      <w:tr>
        <w:tc>
          <w:tcPr>
            <w:tcW w:type="dxa" w:w="10454"/>
            <w:shd w:fill="F5F0FA"/>
            <w:tcMar>
              <w:top w:w="130" w:type="dxa"/>
              <w:start w:w="150" w:type="dxa"/>
              <w:bottom w:w="130" w:type="dxa"/>
              <w:end w:w="150" w:type="dxa"/>
            </w:tcMar>
          </w:tcPr>
          <w:p>
            <w:r>
              <w:rPr>
                <w:rFonts w:ascii="Aptos" w:hAnsi="Aptos"/>
                <w:b/>
                <w:color w:val="5F259F"/>
                <w:sz w:val="19"/>
              </w:rPr>
              <w:t xml:space="preserve">STATISTICAL DISCIPLINE  </w:t>
            </w:r>
            <w:r>
              <w:rPr>
                <w:rFonts w:ascii="Aptos" w:hAnsi="Aptos"/>
                <w:b w:val="0"/>
                <w:color w:val="1A1033"/>
                <w:sz w:val="18"/>
              </w:rPr>
              <w:t>Pre-register the primary metric and minimum detectable effect, randomize at the correct unit, calculate confidence intervals, check sample-ratio mismatch, run long enough to capture weekly/monthly behavior, and evaluate heterogeneous effects before rollout.</w:t>
            </w:r>
          </w:p>
        </w:tc>
      </w:tr>
    </w:tbl>
    <w:p>
      <w:pPr>
        <w:spacing w:after="20"/>
      </w:pPr>
    </w:p>
    <w:p>
      <w:pPr>
        <w:pStyle w:val="Heading2"/>
        <w:spacing w:before="120" w:after="80"/>
      </w:pPr>
      <w:r>
        <w:rPr>
          <w:rFonts w:ascii="Aptos" w:hAnsi="Aptos"/>
          <w:b/>
          <w:color w:val="1A1033"/>
          <w:sz w:val="24"/>
        </w:rPr>
        <w:t>Modeled A/B demonstration</w:t>
      </w:r>
    </w:p>
    <w:p>
      <w:pPr>
        <w:spacing w:after="80" w:line="259" w:lineRule="auto"/>
      </w:pPr>
      <w:r>
        <w:rPr>
          <w:rFonts w:ascii="Aptos" w:hAnsi="Aptos"/>
          <w:b w:val="0"/>
          <w:color w:val="1A1033"/>
          <w:sz w:val="19"/>
        </w:rPr>
        <w:t>The included SQLite dataset contains a synthetic Launchpad experiment with Control vs Treatment outcomes. SQL 06_experiment_readout.sql calculates D30 retention, support-contact and fraud rates. The result is demonstrative, not a PhonePe result.</w:t>
      </w:r>
    </w:p>
    <w:p>
      <w:r>
        <w:br w:type="page"/>
      </w:r>
    </w:p>
    <w:p>
      <w:r>
        <w:rPr>
          <w:rFonts w:ascii="Aptos" w:hAnsi="Aptos"/>
          <w:b/>
          <w:color w:val="5F259F"/>
          <w:sz w:val="48"/>
        </w:rPr>
        <w:t>18  Quantified Opportunity Envelope</w:t>
      </w:r>
    </w:p>
    <w:p>
      <w:r>
        <w:rPr>
          <w:rFonts w:ascii="Aptos" w:hAnsi="Aptos"/>
          <w:b w:val="0"/>
          <w:color w:val="5F6470"/>
          <w:sz w:val="22"/>
        </w:rPr>
        <w:t>Public baselines + explicit scenario assumptions.</w:t>
      </w:r>
    </w:p>
    <w:p>
      <w:pPr>
        <w:jc w:val="center"/>
      </w:pPr>
      <w:r>
        <w:drawing>
          <wp:inline xmlns:a="http://schemas.openxmlformats.org/drawingml/2006/main" xmlns:pic="http://schemas.openxmlformats.org/drawingml/2006/picture">
            <wp:extent cx="5897880" cy="3333037"/>
            <wp:docPr id="13" name="Picture 13"/>
            <wp:cNvGraphicFramePr>
              <a:graphicFrameLocks noChangeAspect="1"/>
            </wp:cNvGraphicFramePr>
            <a:graphic>
              <a:graphicData uri="http://schemas.openxmlformats.org/drawingml/2006/picture">
                <pic:pic>
                  <pic:nvPicPr>
                    <pic:cNvPr id="0" name="merchant_impact.png"/>
                    <pic:cNvPicPr/>
                  </pic:nvPicPr>
                  <pic:blipFill>
                    <a:blip r:embed="rId22"/>
                    <a:stretch>
                      <a:fillRect/>
                    </a:stretch>
                  </pic:blipFill>
                  <pic:spPr>
                    <a:xfrm>
                      <a:off x="0" y="0"/>
                      <a:ext cx="5897880" cy="3333037"/>
                    </a:xfrm>
                    <a:prstGeom prst="rect"/>
                  </pic:spPr>
                </pic:pic>
              </a:graphicData>
            </a:graphic>
          </wp:inline>
        </w:drawing>
      </w:r>
    </w:p>
    <w:p>
      <w:pPr>
        <w:jc w:val="center"/>
      </w:pPr>
      <w:r>
        <w:rPr>
          <w:rFonts w:ascii="Aptos" w:hAnsi="Aptos"/>
          <w:b w:val="0"/>
          <w:color w:val="5F6470"/>
          <w:sz w:val="14"/>
        </w:rPr>
        <w:t>MODELED using Sep-2025 MAM = 11.11M and TPAM = 379.16.</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shd w:fill="5F259F"/>
            <w:tcMar>
              <w:top w:w="70" w:type="dxa"/>
              <w:start w:w="60" w:type="dxa"/>
              <w:bottom w:w="70" w:type="dxa"/>
              <w:end w:w="60" w:type="dxa"/>
            </w:tcMar>
          </w:tcPr>
          <w:p>
            <w:r>
              <w:rPr>
                <w:rFonts w:ascii="Aptos" w:hAnsi="Aptos"/>
                <w:b/>
                <w:color w:val="FFFFFF"/>
                <w:sz w:val="16"/>
              </w:rPr>
              <w:t>Scenario</w:t>
            </w:r>
          </w:p>
        </w:tc>
        <w:tc>
          <w:tcPr>
            <w:tcW w:type="dxa" w:w="2613"/>
            <w:shd w:fill="5F259F"/>
            <w:tcMar>
              <w:top w:w="70" w:type="dxa"/>
              <w:start w:w="60" w:type="dxa"/>
              <w:bottom w:w="70" w:type="dxa"/>
              <w:end w:w="60" w:type="dxa"/>
            </w:tcMar>
          </w:tcPr>
          <w:p>
            <w:r>
              <w:rPr>
                <w:rFonts w:ascii="Aptos" w:hAnsi="Aptos"/>
                <w:b/>
                <w:color w:val="FFFFFF"/>
                <w:sz w:val="16"/>
              </w:rPr>
              <w:t>Incremental MAM</w:t>
            </w:r>
          </w:p>
        </w:tc>
        <w:tc>
          <w:tcPr>
            <w:tcW w:type="dxa" w:w="2613"/>
            <w:shd w:fill="5F259F"/>
            <w:tcMar>
              <w:top w:w="70" w:type="dxa"/>
              <w:start w:w="60" w:type="dxa"/>
              <w:bottom w:w="70" w:type="dxa"/>
              <w:end w:w="60" w:type="dxa"/>
            </w:tcMar>
          </w:tcPr>
          <w:p>
            <w:r>
              <w:rPr>
                <w:rFonts w:ascii="Aptos" w:hAnsi="Aptos"/>
                <w:b/>
                <w:color w:val="FFFFFF"/>
                <w:sz w:val="16"/>
              </w:rPr>
              <w:t>Txn/month</w:t>
            </w:r>
          </w:p>
        </w:tc>
        <w:tc>
          <w:tcPr>
            <w:tcW w:type="dxa" w:w="2613"/>
            <w:shd w:fill="5F259F"/>
            <w:tcMar>
              <w:top w:w="70" w:type="dxa"/>
              <w:start w:w="60" w:type="dxa"/>
              <w:bottom w:w="70" w:type="dxa"/>
              <w:end w:w="60" w:type="dxa"/>
            </w:tcMar>
          </w:tcPr>
          <w:p>
            <w:r>
              <w:rPr>
                <w:rFonts w:ascii="Aptos" w:hAnsi="Aptos"/>
                <w:b/>
                <w:color w:val="FFFFFF"/>
                <w:sz w:val="16"/>
              </w:rPr>
              <w:t>Annualized txn</w:t>
            </w:r>
          </w:p>
        </w:tc>
      </w:tr>
      <w:tr>
        <w:tc>
          <w:tcPr>
            <w:tcW w:type="dxa" w:w="2613"/>
            <w:tcMar>
              <w:top w:w="60" w:type="dxa"/>
              <w:start w:w="55" w:type="dxa"/>
              <w:bottom w:w="60" w:type="dxa"/>
              <w:end w:w="55" w:type="dxa"/>
            </w:tcMar>
          </w:tcPr>
          <w:p>
            <w:r>
              <w:rPr>
                <w:rFonts w:ascii="Aptos" w:hAnsi="Aptos"/>
                <w:b w:val="0"/>
                <w:color w:val="1A1033"/>
                <w:sz w:val="16"/>
              </w:rPr>
              <w:t>+1% MAM</w:t>
            </w:r>
          </w:p>
        </w:tc>
        <w:tc>
          <w:tcPr>
            <w:tcW w:type="dxa" w:w="2613"/>
            <w:tcMar>
              <w:top w:w="60" w:type="dxa"/>
              <w:start w:w="55" w:type="dxa"/>
              <w:bottom w:w="60" w:type="dxa"/>
              <w:end w:w="55" w:type="dxa"/>
            </w:tcMar>
          </w:tcPr>
          <w:p>
            <w:r>
              <w:rPr>
                <w:rFonts w:ascii="Aptos" w:hAnsi="Aptos"/>
                <w:b w:val="0"/>
                <w:color w:val="1A1033"/>
                <w:sz w:val="16"/>
              </w:rPr>
              <w:t>0.111M</w:t>
            </w:r>
          </w:p>
        </w:tc>
        <w:tc>
          <w:tcPr>
            <w:tcW w:type="dxa" w:w="2613"/>
            <w:tcMar>
              <w:top w:w="60" w:type="dxa"/>
              <w:start w:w="55" w:type="dxa"/>
              <w:bottom w:w="60" w:type="dxa"/>
              <w:end w:w="55" w:type="dxa"/>
            </w:tcMar>
          </w:tcPr>
          <w:p>
            <w:r>
              <w:rPr>
                <w:rFonts w:ascii="Aptos" w:hAnsi="Aptos"/>
                <w:b w:val="0"/>
                <w:color w:val="1A1033"/>
                <w:sz w:val="16"/>
              </w:rPr>
              <w:t>42.1M</w:t>
            </w:r>
          </w:p>
        </w:tc>
        <w:tc>
          <w:tcPr>
            <w:tcW w:type="dxa" w:w="2613"/>
            <w:tcMar>
              <w:top w:w="60" w:type="dxa"/>
              <w:start w:w="55" w:type="dxa"/>
              <w:bottom w:w="60" w:type="dxa"/>
              <w:end w:w="55" w:type="dxa"/>
            </w:tcMar>
          </w:tcPr>
          <w:p>
            <w:r>
              <w:rPr>
                <w:rFonts w:ascii="Aptos" w:hAnsi="Aptos"/>
                <w:b w:val="0"/>
                <w:color w:val="1A1033"/>
                <w:sz w:val="16"/>
              </w:rPr>
              <w:t>0.51B</w:t>
            </w:r>
          </w:p>
        </w:tc>
      </w:tr>
      <w:tr>
        <w:tc>
          <w:tcPr>
            <w:tcW w:type="dxa" w:w="2613"/>
            <w:tcMar>
              <w:top w:w="60" w:type="dxa"/>
              <w:start w:w="55" w:type="dxa"/>
              <w:bottom w:w="60" w:type="dxa"/>
              <w:end w:w="55" w:type="dxa"/>
            </w:tcMar>
            <w:shd w:fill="F8F5FB"/>
          </w:tcPr>
          <w:p>
            <w:r>
              <w:rPr>
                <w:rFonts w:ascii="Aptos" w:hAnsi="Aptos"/>
                <w:b w:val="0"/>
                <w:color w:val="1A1033"/>
                <w:sz w:val="16"/>
              </w:rPr>
              <w:t>+3% MAM</w:t>
            </w:r>
          </w:p>
        </w:tc>
        <w:tc>
          <w:tcPr>
            <w:tcW w:type="dxa" w:w="2613"/>
            <w:tcMar>
              <w:top w:w="60" w:type="dxa"/>
              <w:start w:w="55" w:type="dxa"/>
              <w:bottom w:w="60" w:type="dxa"/>
              <w:end w:w="55" w:type="dxa"/>
            </w:tcMar>
            <w:shd w:fill="F8F5FB"/>
          </w:tcPr>
          <w:p>
            <w:r>
              <w:rPr>
                <w:rFonts w:ascii="Aptos" w:hAnsi="Aptos"/>
                <w:b w:val="0"/>
                <w:color w:val="1A1033"/>
                <w:sz w:val="16"/>
              </w:rPr>
              <w:t>0.333M</w:t>
            </w:r>
          </w:p>
        </w:tc>
        <w:tc>
          <w:tcPr>
            <w:tcW w:type="dxa" w:w="2613"/>
            <w:tcMar>
              <w:top w:w="60" w:type="dxa"/>
              <w:start w:w="55" w:type="dxa"/>
              <w:bottom w:w="60" w:type="dxa"/>
              <w:end w:w="55" w:type="dxa"/>
            </w:tcMar>
            <w:shd w:fill="F8F5FB"/>
          </w:tcPr>
          <w:p>
            <w:r>
              <w:rPr>
                <w:rFonts w:ascii="Aptos" w:hAnsi="Aptos"/>
                <w:b w:val="0"/>
                <w:color w:val="1A1033"/>
                <w:sz w:val="16"/>
              </w:rPr>
              <w:t>126.4M</w:t>
            </w:r>
          </w:p>
        </w:tc>
        <w:tc>
          <w:tcPr>
            <w:tcW w:type="dxa" w:w="2613"/>
            <w:tcMar>
              <w:top w:w="60" w:type="dxa"/>
              <w:start w:w="55" w:type="dxa"/>
              <w:bottom w:w="60" w:type="dxa"/>
              <w:end w:w="55" w:type="dxa"/>
            </w:tcMar>
            <w:shd w:fill="F8F5FB"/>
          </w:tcPr>
          <w:p>
            <w:r>
              <w:rPr>
                <w:rFonts w:ascii="Aptos" w:hAnsi="Aptos"/>
                <w:b w:val="0"/>
                <w:color w:val="1A1033"/>
                <w:sz w:val="16"/>
              </w:rPr>
              <w:t>1.52B</w:t>
            </w:r>
          </w:p>
        </w:tc>
      </w:tr>
      <w:tr>
        <w:tc>
          <w:tcPr>
            <w:tcW w:type="dxa" w:w="2613"/>
            <w:tcMar>
              <w:top w:w="60" w:type="dxa"/>
              <w:start w:w="55" w:type="dxa"/>
              <w:bottom w:w="60" w:type="dxa"/>
              <w:end w:w="55" w:type="dxa"/>
            </w:tcMar>
          </w:tcPr>
          <w:p>
            <w:r>
              <w:rPr>
                <w:rFonts w:ascii="Aptos" w:hAnsi="Aptos"/>
                <w:b w:val="0"/>
                <w:color w:val="1A1033"/>
                <w:sz w:val="16"/>
              </w:rPr>
              <w:t>+5% MAM</w:t>
            </w:r>
          </w:p>
        </w:tc>
        <w:tc>
          <w:tcPr>
            <w:tcW w:type="dxa" w:w="2613"/>
            <w:tcMar>
              <w:top w:w="60" w:type="dxa"/>
              <w:start w:w="55" w:type="dxa"/>
              <w:bottom w:w="60" w:type="dxa"/>
              <w:end w:w="55" w:type="dxa"/>
            </w:tcMar>
          </w:tcPr>
          <w:p>
            <w:r>
              <w:rPr>
                <w:rFonts w:ascii="Aptos" w:hAnsi="Aptos"/>
                <w:b w:val="0"/>
                <w:color w:val="1A1033"/>
                <w:sz w:val="16"/>
              </w:rPr>
              <w:t>0.556M</w:t>
            </w:r>
          </w:p>
        </w:tc>
        <w:tc>
          <w:tcPr>
            <w:tcW w:type="dxa" w:w="2613"/>
            <w:tcMar>
              <w:top w:w="60" w:type="dxa"/>
              <w:start w:w="55" w:type="dxa"/>
              <w:bottom w:w="60" w:type="dxa"/>
              <w:end w:w="55" w:type="dxa"/>
            </w:tcMar>
          </w:tcPr>
          <w:p>
            <w:r>
              <w:rPr>
                <w:rFonts w:ascii="Aptos" w:hAnsi="Aptos"/>
                <w:b w:val="0"/>
                <w:color w:val="1A1033"/>
                <w:sz w:val="16"/>
              </w:rPr>
              <w:t>210.6M</w:t>
            </w:r>
          </w:p>
        </w:tc>
        <w:tc>
          <w:tcPr>
            <w:tcW w:type="dxa" w:w="2613"/>
            <w:tcMar>
              <w:top w:w="60" w:type="dxa"/>
              <w:start w:w="55" w:type="dxa"/>
              <w:bottom w:w="60" w:type="dxa"/>
              <w:end w:w="55" w:type="dxa"/>
            </w:tcMar>
          </w:tcPr>
          <w:p>
            <w:r>
              <w:rPr>
                <w:rFonts w:ascii="Aptos" w:hAnsi="Aptos"/>
                <w:b w:val="0"/>
                <w:color w:val="1A1033"/>
                <w:sz w:val="16"/>
              </w:rPr>
              <w:t>2.53B</w:t>
            </w:r>
          </w:p>
        </w:tc>
      </w:tr>
    </w:tbl>
    <w:p>
      <w:pPr>
        <w:spacing w:after="40"/>
      </w:pPr>
    </w:p>
    <w:tbl>
      <w:tblPr>
        <w:tblW w:type="auto" w:w="0"/>
        <w:tblLook w:firstColumn="1" w:firstRow="1" w:lastColumn="0" w:lastRow="0" w:noHBand="0" w:noVBand="1" w:val="04A0"/>
      </w:tblPr>
      <w:tblGrid>
        <w:gridCol w:w="10454"/>
      </w:tblGrid>
      <w:tr>
        <w:tc>
          <w:tcPr>
            <w:tcW w:type="dxa" w:w="10454"/>
            <w:shd w:fill="F5F0FA"/>
            <w:tcMar>
              <w:top w:w="130" w:type="dxa"/>
              <w:start w:w="150" w:type="dxa"/>
              <w:bottom w:w="130" w:type="dxa"/>
              <w:end w:w="150" w:type="dxa"/>
            </w:tcMar>
          </w:tcPr>
          <w:p>
            <w:r>
              <w:rPr>
                <w:rFonts w:ascii="Aptos" w:hAnsi="Aptos"/>
                <w:b/>
                <w:color w:val="5F259F"/>
                <w:sz w:val="19"/>
              </w:rPr>
              <w:t xml:space="preserve">INTERPRETATION  </w:t>
            </w:r>
            <w:r>
              <w:rPr>
                <w:rFonts w:ascii="Aptos" w:hAnsi="Aptos"/>
                <w:b w:val="0"/>
                <w:color w:val="1A1033"/>
                <w:sz w:val="18"/>
              </w:rPr>
              <w:t>A 3% increase in active merchants at mature-base TPAM corresponds to ~126M additional merchant transactions/month. New merchants will typically ramp below mature TPAM, so this is an opportunity-envelope sensitivity, not a forecast.</w:t>
            </w:r>
          </w:p>
        </w:tc>
      </w:tr>
    </w:tbl>
    <w:p>
      <w:pPr>
        <w:spacing w:after="20"/>
      </w:pPr>
    </w:p>
    <w:p>
      <w:pPr>
        <w:spacing w:after="80" w:line="259" w:lineRule="auto"/>
      </w:pPr>
      <w:r>
        <w:rPr>
          <w:rFonts w:ascii="Aptos" w:hAnsi="Aptos"/>
          <w:b w:val="0"/>
          <w:color w:val="1A1033"/>
          <w:sz w:val="19"/>
        </w:rPr>
        <w:t>Financial-services sensitivity: annualizing H1FY26 Lending &amp; Insurance Distribution revenue gives ~₹905 Cr. A 5% / 10% / 15% uplift on that run rate equals ~₹45 Cr / ₹91 Cr / ₹136 Cr. This is not profit and not company guidance.</w:t>
      </w:r>
    </w:p>
    <w:p>
      <w:r>
        <w:br w:type="page"/>
      </w:r>
    </w:p>
    <w:p>
      <w:r>
        <w:rPr>
          <w:rFonts w:ascii="Aptos" w:hAnsi="Aptos"/>
          <w:b/>
          <w:color w:val="5F259F"/>
          <w:sz w:val="48"/>
        </w:rPr>
        <w:t>19  SQL &amp; Analytics Architecture</w:t>
      </w:r>
    </w:p>
    <w:p>
      <w:r>
        <w:rPr>
          <w:rFonts w:ascii="Aptos" w:hAnsi="Aptos"/>
          <w:b w:val="0"/>
          <w:color w:val="5F6470"/>
          <w:sz w:val="22"/>
        </w:rPr>
        <w:t>The project demonstrates how the strategic thesis becomes an analytical workflow.</w:t>
      </w:r>
    </w:p>
    <w:tbl>
      <w:tblPr>
        <w:tblW w:type="auto" w:w="0"/>
        <w:tblLook w:firstColumn="1" w:firstRow="1" w:lastColumn="0" w:lastRow="0" w:noHBand="0" w:noVBand="1" w:val="04A0"/>
      </w:tblPr>
      <w:tblGrid>
        <w:gridCol w:w="10454"/>
      </w:tblGrid>
      <w:tr>
        <w:tc>
          <w:tcPr>
            <w:tcW w:type="dxa" w:w="10454"/>
            <w:shd w:fill="F5F0FA"/>
            <w:tcMar>
              <w:top w:w="130" w:type="dxa"/>
              <w:start w:w="150" w:type="dxa"/>
              <w:bottom w:w="130" w:type="dxa"/>
              <w:end w:w="150" w:type="dxa"/>
            </w:tcMar>
          </w:tcPr>
          <w:p>
            <w:r>
              <w:rPr>
                <w:rFonts w:ascii="Aptos" w:hAnsi="Aptos"/>
                <w:b/>
                <w:color w:val="5F259F"/>
                <w:sz w:val="19"/>
              </w:rPr>
              <w:t xml:space="preserve">REAL PUBLIC LAYER  </w:t>
            </w:r>
            <w:r>
              <w:rPr>
                <w:rFonts w:ascii="Aptos" w:hAnsi="Aptos"/>
                <w:b w:val="0"/>
                <w:color w:val="1A1033"/>
                <w:sz w:val="18"/>
              </w:rPr>
              <w:t>PhonePe Pulse Q2 2026 state aggregates, category mix, company engagement/revenue disclosures.</w:t>
            </w:r>
          </w:p>
        </w:tc>
      </w:tr>
    </w:tbl>
    <w:p>
      <w:pPr>
        <w:spacing w:after="20"/>
      </w:pPr>
    </w:p>
    <w:tbl>
      <w:tblPr>
        <w:tblW w:type="auto" w:w="0"/>
        <w:tblLook w:firstColumn="1" w:firstRow="1" w:lastColumn="0" w:lastRow="0" w:noHBand="0" w:noVBand="1" w:val="04A0"/>
      </w:tblPr>
      <w:tblGrid>
        <w:gridCol w:w="10454"/>
      </w:tblGrid>
      <w:tr>
        <w:tc>
          <w:tcPr>
            <w:tcW w:type="dxa" w:w="10454"/>
            <w:shd w:fill="F5F0FA"/>
            <w:tcMar>
              <w:top w:w="130" w:type="dxa"/>
              <w:start w:w="150" w:type="dxa"/>
              <w:bottom w:w="130" w:type="dxa"/>
              <w:end w:w="150" w:type="dxa"/>
            </w:tcMar>
          </w:tcPr>
          <w:p>
            <w:r>
              <w:rPr>
                <w:rFonts w:ascii="Aptos" w:hAnsi="Aptos"/>
                <w:b/>
                <w:color w:val="5F259F"/>
                <w:sz w:val="19"/>
              </w:rPr>
              <w:t xml:space="preserve">SYNTHETIC ANALYTICS LAYER  </w:t>
            </w:r>
            <w:r>
              <w:rPr>
                <w:rFonts w:ascii="Aptos" w:hAnsi="Aptos"/>
                <w:b w:val="0"/>
                <w:color w:val="1A1033"/>
                <w:sz w:val="18"/>
              </w:rPr>
              <w:t>20,000 merchants + monthly activity + modeled experiment outcomes generated only for funnel/cohort/SQL demonstration. Every relevant file is labeled synthetic.</w:t>
            </w:r>
          </w:p>
        </w:tc>
      </w:tr>
    </w:tbl>
    <w:p>
      <w:pPr>
        <w:spacing w:after="20"/>
      </w:pPr>
    </w:p>
    <w:p>
      <w:pPr>
        <w:pStyle w:val="Heading2"/>
        <w:spacing w:before="120" w:after="80"/>
      </w:pPr>
      <w:r>
        <w:rPr>
          <w:rFonts w:ascii="Aptos" w:hAnsi="Aptos"/>
          <w:b/>
          <w:color w:val="1A1033"/>
          <w:sz w:val="24"/>
        </w:rPr>
        <w:t>Repository SQL</w:t>
      </w:r>
    </w:p>
    <w:p>
      <w:pPr>
        <w:pStyle w:val="ListBullet"/>
        <w:spacing w:after="40"/>
        <w:ind w:left="259"/>
      </w:pPr>
      <w:r>
        <w:rPr>
          <w:rFonts w:ascii="Aptos" w:hAnsi="Aptos"/>
          <w:b w:val="0"/>
          <w:color w:val="1A1033"/>
          <w:sz w:val="18"/>
        </w:rPr>
        <w:t>01_state_opportunity.sql - rank geographies using public aggregates</w:t>
      </w:r>
    </w:p>
    <w:p>
      <w:pPr>
        <w:pStyle w:val="ListBullet"/>
        <w:spacing w:after="40"/>
        <w:ind w:left="259"/>
      </w:pPr>
      <w:r>
        <w:rPr>
          <w:rFonts w:ascii="Aptos" w:hAnsi="Aptos"/>
          <w:b w:val="0"/>
          <w:color w:val="1A1033"/>
          <w:sz w:val="18"/>
        </w:rPr>
        <w:t>02_merchant_activation_funnel.sql - stage conversion by channel</w:t>
      </w:r>
    </w:p>
    <w:p>
      <w:pPr>
        <w:pStyle w:val="ListBullet"/>
        <w:spacing w:after="40"/>
        <w:ind w:left="259"/>
      </w:pPr>
      <w:r>
        <w:rPr>
          <w:rFonts w:ascii="Aptos" w:hAnsi="Aptos"/>
          <w:b w:val="0"/>
          <w:color w:val="1A1033"/>
          <w:sz w:val="18"/>
        </w:rPr>
        <w:t>03_cohort_retention.sql - M0-M5 active cohort retention</w:t>
      </w:r>
    </w:p>
    <w:p>
      <w:pPr>
        <w:pStyle w:val="ListBullet"/>
        <w:spacing w:after="40"/>
        <w:ind w:left="259"/>
      </w:pPr>
      <w:r>
        <w:rPr>
          <w:rFonts w:ascii="Aptos" w:hAnsi="Aptos"/>
          <w:b w:val="0"/>
          <w:color w:val="1A1033"/>
          <w:sz w:val="18"/>
        </w:rPr>
        <w:t>04_habitual_segmentation.sql - transaction/TPV depth</w:t>
      </w:r>
    </w:p>
    <w:p>
      <w:pPr>
        <w:pStyle w:val="ListBullet"/>
        <w:spacing w:after="40"/>
        <w:ind w:left="259"/>
      </w:pPr>
      <w:r>
        <w:rPr>
          <w:rFonts w:ascii="Aptos" w:hAnsi="Aptos"/>
          <w:b w:val="0"/>
          <w:color w:val="1A1033"/>
          <w:sz w:val="18"/>
        </w:rPr>
        <w:t>05_device_conversion.sql - association analysis + causality caveat</w:t>
      </w:r>
    </w:p>
    <w:p>
      <w:pPr>
        <w:pStyle w:val="ListBullet"/>
        <w:spacing w:after="40"/>
        <w:ind w:left="259"/>
      </w:pPr>
      <w:r>
        <w:rPr>
          <w:rFonts w:ascii="Aptos" w:hAnsi="Aptos"/>
          <w:b w:val="0"/>
          <w:color w:val="1A1033"/>
          <w:sz w:val="18"/>
        </w:rPr>
        <w:t>06_experiment_readout.sql - control/treatment retention + guardrails</w:t>
      </w:r>
    </w:p>
    <w:p>
      <w:pPr>
        <w:pStyle w:val="Heading2"/>
        <w:spacing w:before="120" w:after="80"/>
      </w:pPr>
      <w:r>
        <w:rPr>
          <w:rFonts w:ascii="Aptos" w:hAnsi="Aptos"/>
          <w:b/>
          <w:color w:val="1A1033"/>
          <w:sz w:val="24"/>
        </w:rPr>
        <w:t>What I would request internally</w:t>
      </w:r>
    </w:p>
    <w:p>
      <w:pPr>
        <w:pStyle w:val="ListBullet"/>
        <w:spacing w:after="40"/>
        <w:ind w:left="259"/>
      </w:pPr>
      <w:r>
        <w:rPr>
          <w:rFonts w:ascii="Aptos" w:hAnsi="Aptos"/>
          <w:b w:val="0"/>
          <w:color w:val="1A1033"/>
          <w:sz w:val="18"/>
        </w:rPr>
        <w:t>user/merchant event-level payment logs and success/failure reasons</w:t>
      </w:r>
    </w:p>
    <w:p>
      <w:pPr>
        <w:pStyle w:val="ListBullet"/>
        <w:spacing w:after="40"/>
        <w:ind w:left="259"/>
      </w:pPr>
      <w:r>
        <w:rPr>
          <w:rFonts w:ascii="Aptos" w:hAnsi="Aptos"/>
          <w:b w:val="0"/>
          <w:color w:val="1A1033"/>
          <w:sz w:val="18"/>
        </w:rPr>
        <w:t>merchant acquisition source and acquisition cost</w:t>
      </w:r>
    </w:p>
    <w:p>
      <w:pPr>
        <w:pStyle w:val="ListBullet"/>
        <w:spacing w:after="40"/>
        <w:ind w:left="259"/>
      </w:pPr>
      <w:r>
        <w:rPr>
          <w:rFonts w:ascii="Aptos" w:hAnsi="Aptos"/>
          <w:b w:val="0"/>
          <w:color w:val="1A1033"/>
          <w:sz w:val="18"/>
        </w:rPr>
        <w:t>merchant category, TPV, fee/device revenue and service cost</w:t>
      </w:r>
    </w:p>
    <w:p>
      <w:pPr>
        <w:pStyle w:val="ListBullet"/>
        <w:spacing w:after="40"/>
        <w:ind w:left="259"/>
      </w:pPr>
      <w:r>
        <w:rPr>
          <w:rFonts w:ascii="Aptos" w:hAnsi="Aptos"/>
          <w:b w:val="0"/>
          <w:color w:val="1A1033"/>
          <w:sz w:val="18"/>
        </w:rPr>
        <w:t>device assignment logic and hardware economics</w:t>
      </w:r>
    </w:p>
    <w:p>
      <w:pPr>
        <w:pStyle w:val="ListBullet"/>
        <w:spacing w:after="40"/>
        <w:ind w:left="259"/>
      </w:pPr>
      <w:r>
        <w:rPr>
          <w:rFonts w:ascii="Aptos" w:hAnsi="Aptos"/>
          <w:b w:val="0"/>
          <w:color w:val="1A1033"/>
          <w:sz w:val="18"/>
        </w:rPr>
        <w:t>fraud/dispute/support events</w:t>
      </w:r>
    </w:p>
    <w:p>
      <w:pPr>
        <w:pStyle w:val="ListBullet"/>
        <w:spacing w:after="40"/>
        <w:ind w:left="259"/>
      </w:pPr>
      <w:r>
        <w:rPr>
          <w:rFonts w:ascii="Aptos" w:hAnsi="Aptos"/>
          <w:b w:val="0"/>
          <w:color w:val="1A1033"/>
          <w:sz w:val="18"/>
        </w:rPr>
        <w:t>district/pincode MAC/MAM and cohort retention</w:t>
      </w:r>
    </w:p>
    <w:p>
      <w:pPr>
        <w:pStyle w:val="ListBullet"/>
        <w:spacing w:after="40"/>
        <w:ind w:left="259"/>
      </w:pPr>
      <w:r>
        <w:rPr>
          <w:rFonts w:ascii="Aptos" w:hAnsi="Aptos"/>
          <w:b w:val="0"/>
          <w:color w:val="1A1033"/>
          <w:sz w:val="18"/>
        </w:rPr>
        <w:t>cross-product eligibility and conversion</w:t>
      </w:r>
    </w:p>
    <w:p>
      <w:r>
        <w:br w:type="page"/>
      </w:r>
    </w:p>
    <w:p>
      <w:r>
        <w:rPr>
          <w:rFonts w:ascii="Aptos" w:hAnsi="Aptos"/>
          <w:b/>
          <w:color w:val="5F259F"/>
          <w:sz w:val="48"/>
        </w:rPr>
        <w:t>20  Prioritization &amp; 12-Month Roadmap</w:t>
      </w:r>
    </w:p>
    <w:p>
      <w:r>
        <w:rPr>
          <w:rFonts w:ascii="Aptos" w:hAnsi="Aptos"/>
          <w:b w:val="0"/>
          <w:color w:val="5F6470"/>
          <w:sz w:val="22"/>
        </w:rPr>
        <w:t>Sequence diagnosis → causal tests → selective scale.</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5F259F"/>
            <w:tcMar>
              <w:top w:w="70" w:type="dxa"/>
              <w:start w:w="60" w:type="dxa"/>
              <w:bottom w:w="70" w:type="dxa"/>
              <w:end w:w="60" w:type="dxa"/>
            </w:tcMar>
          </w:tcPr>
          <w:p>
            <w:r>
              <w:rPr>
                <w:rFonts w:ascii="Aptos" w:hAnsi="Aptos"/>
                <w:b/>
                <w:color w:val="FFFFFF"/>
                <w:sz w:val="14"/>
              </w:rPr>
              <w:t>Priority</w:t>
            </w:r>
          </w:p>
        </w:tc>
        <w:tc>
          <w:tcPr>
            <w:tcW w:type="dxa" w:w="2091"/>
            <w:shd w:fill="5F259F"/>
            <w:tcMar>
              <w:top w:w="70" w:type="dxa"/>
              <w:start w:w="60" w:type="dxa"/>
              <w:bottom w:w="70" w:type="dxa"/>
              <w:end w:w="60" w:type="dxa"/>
            </w:tcMar>
          </w:tcPr>
          <w:p>
            <w:r>
              <w:rPr>
                <w:rFonts w:ascii="Aptos" w:hAnsi="Aptos"/>
                <w:b/>
                <w:color w:val="FFFFFF"/>
                <w:sz w:val="14"/>
              </w:rPr>
              <w:t>Workstream</w:t>
            </w:r>
          </w:p>
        </w:tc>
        <w:tc>
          <w:tcPr>
            <w:tcW w:type="dxa" w:w="2091"/>
            <w:shd w:fill="5F259F"/>
            <w:tcMar>
              <w:top w:w="70" w:type="dxa"/>
              <w:start w:w="60" w:type="dxa"/>
              <w:bottom w:w="70" w:type="dxa"/>
              <w:end w:w="60" w:type="dxa"/>
            </w:tcMar>
          </w:tcPr>
          <w:p>
            <w:r>
              <w:rPr>
                <w:rFonts w:ascii="Aptos" w:hAnsi="Aptos"/>
                <w:b/>
                <w:color w:val="FFFFFF"/>
                <w:sz w:val="14"/>
              </w:rPr>
              <w:t>Impact</w:t>
            </w:r>
          </w:p>
        </w:tc>
        <w:tc>
          <w:tcPr>
            <w:tcW w:type="dxa" w:w="2091"/>
            <w:shd w:fill="5F259F"/>
            <w:tcMar>
              <w:top w:w="70" w:type="dxa"/>
              <w:start w:w="60" w:type="dxa"/>
              <w:bottom w:w="70" w:type="dxa"/>
              <w:end w:w="60" w:type="dxa"/>
            </w:tcMar>
          </w:tcPr>
          <w:p>
            <w:r>
              <w:rPr>
                <w:rFonts w:ascii="Aptos" w:hAnsi="Aptos"/>
                <w:b/>
                <w:color w:val="FFFFFF"/>
                <w:sz w:val="14"/>
              </w:rPr>
              <w:t>Confidence</w:t>
            </w:r>
          </w:p>
        </w:tc>
        <w:tc>
          <w:tcPr>
            <w:tcW w:type="dxa" w:w="2091"/>
            <w:shd w:fill="5F259F"/>
            <w:tcMar>
              <w:top w:w="70" w:type="dxa"/>
              <w:start w:w="60" w:type="dxa"/>
              <w:bottom w:w="70" w:type="dxa"/>
              <w:end w:w="60" w:type="dxa"/>
            </w:tcMar>
          </w:tcPr>
          <w:p>
            <w:r>
              <w:rPr>
                <w:rFonts w:ascii="Aptos" w:hAnsi="Aptos"/>
                <w:b/>
                <w:color w:val="FFFFFF"/>
                <w:sz w:val="14"/>
              </w:rPr>
              <w:t>Effort</w:t>
            </w:r>
          </w:p>
        </w:tc>
      </w:tr>
      <w:tr>
        <w:tc>
          <w:tcPr>
            <w:tcW w:type="dxa" w:w="2091"/>
            <w:tcMar>
              <w:top w:w="60" w:type="dxa"/>
              <w:start w:w="55" w:type="dxa"/>
              <w:bottom w:w="60" w:type="dxa"/>
              <w:end w:w="55" w:type="dxa"/>
            </w:tcMar>
          </w:tcPr>
          <w:p>
            <w:r>
              <w:rPr>
                <w:rFonts w:ascii="Aptos" w:hAnsi="Aptos"/>
                <w:b w:val="0"/>
                <w:color w:val="1A1033"/>
                <w:sz w:val="14"/>
              </w:rPr>
              <w:t>P0</w:t>
            </w:r>
          </w:p>
        </w:tc>
        <w:tc>
          <w:tcPr>
            <w:tcW w:type="dxa" w:w="2091"/>
            <w:tcMar>
              <w:top w:w="60" w:type="dxa"/>
              <w:start w:w="55" w:type="dxa"/>
              <w:bottom w:w="60" w:type="dxa"/>
              <w:end w:w="55" w:type="dxa"/>
            </w:tcMar>
          </w:tcPr>
          <w:p>
            <w:r>
              <w:rPr>
                <w:rFonts w:ascii="Aptos" w:hAnsi="Aptos"/>
                <w:b w:val="0"/>
                <w:color w:val="1A1033"/>
                <w:sz w:val="14"/>
              </w:rPr>
              <w:t>Merchant Launchpad</w:t>
            </w:r>
          </w:p>
        </w:tc>
        <w:tc>
          <w:tcPr>
            <w:tcW w:type="dxa" w:w="2091"/>
            <w:tcMar>
              <w:top w:w="60" w:type="dxa"/>
              <w:start w:w="55" w:type="dxa"/>
              <w:bottom w:w="60" w:type="dxa"/>
              <w:end w:w="55" w:type="dxa"/>
            </w:tcMar>
          </w:tcPr>
          <w:p>
            <w:r>
              <w:rPr>
                <w:rFonts w:ascii="Aptos" w:hAnsi="Aptos"/>
                <w:b w:val="0"/>
                <w:color w:val="1A1033"/>
                <w:sz w:val="14"/>
              </w:rPr>
              <w:t>High</w:t>
            </w:r>
          </w:p>
        </w:tc>
        <w:tc>
          <w:tcPr>
            <w:tcW w:type="dxa" w:w="2091"/>
            <w:tcMar>
              <w:top w:w="60" w:type="dxa"/>
              <w:start w:w="55" w:type="dxa"/>
              <w:bottom w:w="60" w:type="dxa"/>
              <w:end w:w="55" w:type="dxa"/>
            </w:tcMar>
          </w:tcPr>
          <w:p>
            <w:r>
              <w:rPr>
                <w:rFonts w:ascii="Aptos" w:hAnsi="Aptos"/>
                <w:b w:val="0"/>
                <w:color w:val="1A1033"/>
                <w:sz w:val="14"/>
              </w:rPr>
              <w:t>High</w:t>
            </w:r>
          </w:p>
        </w:tc>
        <w:tc>
          <w:tcPr>
            <w:tcW w:type="dxa" w:w="2091"/>
            <w:tcMar>
              <w:top w:w="60" w:type="dxa"/>
              <w:start w:w="55" w:type="dxa"/>
              <w:bottom w:w="60" w:type="dxa"/>
              <w:end w:w="55" w:type="dxa"/>
            </w:tcMar>
          </w:tcPr>
          <w:p>
            <w:r>
              <w:rPr>
                <w:rFonts w:ascii="Aptos" w:hAnsi="Aptos"/>
                <w:b w:val="0"/>
                <w:color w:val="1A1033"/>
                <w:sz w:val="14"/>
              </w:rPr>
              <w:t>Medium</w:t>
            </w:r>
          </w:p>
        </w:tc>
      </w:tr>
      <w:tr>
        <w:tc>
          <w:tcPr>
            <w:tcW w:type="dxa" w:w="2091"/>
            <w:tcMar>
              <w:top w:w="60" w:type="dxa"/>
              <w:start w:w="55" w:type="dxa"/>
              <w:bottom w:w="60" w:type="dxa"/>
              <w:end w:w="55" w:type="dxa"/>
            </w:tcMar>
            <w:shd w:fill="F8F5FB"/>
          </w:tcPr>
          <w:p>
            <w:r>
              <w:rPr>
                <w:rFonts w:ascii="Aptos" w:hAnsi="Aptos"/>
                <w:b w:val="0"/>
                <w:color w:val="1A1033"/>
                <w:sz w:val="14"/>
              </w:rPr>
              <w:t>P0</w:t>
            </w:r>
          </w:p>
        </w:tc>
        <w:tc>
          <w:tcPr>
            <w:tcW w:type="dxa" w:w="2091"/>
            <w:tcMar>
              <w:top w:w="60" w:type="dxa"/>
              <w:start w:w="55" w:type="dxa"/>
              <w:bottom w:w="60" w:type="dxa"/>
              <w:end w:w="55" w:type="dxa"/>
            </w:tcMar>
            <w:shd w:fill="F8F5FB"/>
          </w:tcPr>
          <w:p>
            <w:r>
              <w:rPr>
                <w:rFonts w:ascii="Aptos" w:hAnsi="Aptos"/>
                <w:b w:val="0"/>
                <w:color w:val="1A1033"/>
                <w:sz w:val="14"/>
              </w:rPr>
              <w:t>Geographic activation</w:t>
            </w:r>
          </w:p>
        </w:tc>
        <w:tc>
          <w:tcPr>
            <w:tcW w:type="dxa" w:w="2091"/>
            <w:tcMar>
              <w:top w:w="60" w:type="dxa"/>
              <w:start w:w="55" w:type="dxa"/>
              <w:bottom w:w="60" w:type="dxa"/>
              <w:end w:w="55" w:type="dxa"/>
            </w:tcMar>
            <w:shd w:fill="F8F5FB"/>
          </w:tcPr>
          <w:p>
            <w:r>
              <w:rPr>
                <w:rFonts w:ascii="Aptos" w:hAnsi="Aptos"/>
                <w:b w:val="0"/>
                <w:color w:val="1A1033"/>
                <w:sz w:val="14"/>
              </w:rPr>
              <w:t>High</w:t>
            </w:r>
          </w:p>
        </w:tc>
        <w:tc>
          <w:tcPr>
            <w:tcW w:type="dxa" w:w="2091"/>
            <w:tcMar>
              <w:top w:w="60" w:type="dxa"/>
              <w:start w:w="55" w:type="dxa"/>
              <w:bottom w:w="60" w:type="dxa"/>
              <w:end w:w="55" w:type="dxa"/>
            </w:tcMar>
            <w:shd w:fill="F8F5FB"/>
          </w:tcPr>
          <w:p>
            <w:r>
              <w:rPr>
                <w:rFonts w:ascii="Aptos" w:hAnsi="Aptos"/>
                <w:b w:val="0"/>
                <w:color w:val="1A1033"/>
                <w:sz w:val="14"/>
              </w:rPr>
              <w:t>Med-high</w:t>
            </w:r>
          </w:p>
        </w:tc>
        <w:tc>
          <w:tcPr>
            <w:tcW w:type="dxa" w:w="2091"/>
            <w:tcMar>
              <w:top w:w="60" w:type="dxa"/>
              <w:start w:w="55" w:type="dxa"/>
              <w:bottom w:w="60" w:type="dxa"/>
              <w:end w:w="55" w:type="dxa"/>
            </w:tcMar>
            <w:shd w:fill="F8F5FB"/>
          </w:tcPr>
          <w:p>
            <w:r>
              <w:rPr>
                <w:rFonts w:ascii="Aptos" w:hAnsi="Aptos"/>
                <w:b w:val="0"/>
                <w:color w:val="1A1033"/>
                <w:sz w:val="14"/>
              </w:rPr>
              <w:t>Medium</w:t>
            </w:r>
          </w:p>
        </w:tc>
      </w:tr>
      <w:tr>
        <w:tc>
          <w:tcPr>
            <w:tcW w:type="dxa" w:w="2091"/>
            <w:tcMar>
              <w:top w:w="60" w:type="dxa"/>
              <w:start w:w="55" w:type="dxa"/>
              <w:bottom w:w="60" w:type="dxa"/>
              <w:end w:w="55" w:type="dxa"/>
            </w:tcMar>
          </w:tcPr>
          <w:p>
            <w:r>
              <w:rPr>
                <w:rFonts w:ascii="Aptos" w:hAnsi="Aptos"/>
                <w:b w:val="0"/>
                <w:color w:val="1A1033"/>
                <w:sz w:val="14"/>
              </w:rPr>
              <w:t>P1</w:t>
            </w:r>
          </w:p>
        </w:tc>
        <w:tc>
          <w:tcPr>
            <w:tcW w:type="dxa" w:w="2091"/>
            <w:tcMar>
              <w:top w:w="60" w:type="dxa"/>
              <w:start w:w="55" w:type="dxa"/>
              <w:bottom w:w="60" w:type="dxa"/>
              <w:end w:w="55" w:type="dxa"/>
            </w:tcMar>
          </w:tcPr>
          <w:p>
            <w:r>
              <w:rPr>
                <w:rFonts w:ascii="Aptos" w:hAnsi="Aptos"/>
                <w:b w:val="0"/>
                <w:color w:val="1A1033"/>
                <w:sz w:val="14"/>
              </w:rPr>
              <w:t>Habit Ladder</w:t>
            </w:r>
          </w:p>
        </w:tc>
        <w:tc>
          <w:tcPr>
            <w:tcW w:type="dxa" w:w="2091"/>
            <w:tcMar>
              <w:top w:w="60" w:type="dxa"/>
              <w:start w:w="55" w:type="dxa"/>
              <w:bottom w:w="60" w:type="dxa"/>
              <w:end w:w="55" w:type="dxa"/>
            </w:tcMar>
          </w:tcPr>
          <w:p>
            <w:r>
              <w:rPr>
                <w:rFonts w:ascii="Aptos" w:hAnsi="Aptos"/>
                <w:b w:val="0"/>
                <w:color w:val="1A1033"/>
                <w:sz w:val="14"/>
              </w:rPr>
              <w:t>High</w:t>
            </w:r>
          </w:p>
        </w:tc>
        <w:tc>
          <w:tcPr>
            <w:tcW w:type="dxa" w:w="2091"/>
            <w:tcMar>
              <w:top w:w="60" w:type="dxa"/>
              <w:start w:w="55" w:type="dxa"/>
              <w:bottom w:w="60" w:type="dxa"/>
              <w:end w:w="55" w:type="dxa"/>
            </w:tcMar>
          </w:tcPr>
          <w:p>
            <w:r>
              <w:rPr>
                <w:rFonts w:ascii="Aptos" w:hAnsi="Aptos"/>
                <w:b w:val="0"/>
                <w:color w:val="1A1033"/>
                <w:sz w:val="14"/>
              </w:rPr>
              <w:t>Medium</w:t>
            </w:r>
          </w:p>
        </w:tc>
        <w:tc>
          <w:tcPr>
            <w:tcW w:type="dxa" w:w="2091"/>
            <w:tcMar>
              <w:top w:w="60" w:type="dxa"/>
              <w:start w:w="55" w:type="dxa"/>
              <w:bottom w:w="60" w:type="dxa"/>
              <w:end w:w="55" w:type="dxa"/>
            </w:tcMar>
          </w:tcPr>
          <w:p>
            <w:r>
              <w:rPr>
                <w:rFonts w:ascii="Aptos" w:hAnsi="Aptos"/>
                <w:b w:val="0"/>
                <w:color w:val="1A1033"/>
                <w:sz w:val="14"/>
              </w:rPr>
              <w:t>Medium</w:t>
            </w:r>
          </w:p>
        </w:tc>
      </w:tr>
      <w:tr>
        <w:tc>
          <w:tcPr>
            <w:tcW w:type="dxa" w:w="2091"/>
            <w:tcMar>
              <w:top w:w="60" w:type="dxa"/>
              <w:start w:w="55" w:type="dxa"/>
              <w:bottom w:w="60" w:type="dxa"/>
              <w:end w:w="55" w:type="dxa"/>
            </w:tcMar>
            <w:shd w:fill="F8F5FB"/>
          </w:tcPr>
          <w:p>
            <w:r>
              <w:rPr>
                <w:rFonts w:ascii="Aptos" w:hAnsi="Aptos"/>
                <w:b w:val="0"/>
                <w:color w:val="1A1033"/>
                <w:sz w:val="14"/>
              </w:rPr>
              <w:t>P1</w:t>
            </w:r>
          </w:p>
        </w:tc>
        <w:tc>
          <w:tcPr>
            <w:tcW w:type="dxa" w:w="2091"/>
            <w:tcMar>
              <w:top w:w="60" w:type="dxa"/>
              <w:start w:w="55" w:type="dxa"/>
              <w:bottom w:w="60" w:type="dxa"/>
              <w:end w:w="55" w:type="dxa"/>
            </w:tcMar>
            <w:shd w:fill="F8F5FB"/>
          </w:tcPr>
          <w:p>
            <w:r>
              <w:rPr>
                <w:rFonts w:ascii="Aptos" w:hAnsi="Aptos"/>
                <w:b w:val="0"/>
                <w:color w:val="1A1033"/>
                <w:sz w:val="14"/>
              </w:rPr>
              <w:t>Merchant services eligibility</w:t>
            </w:r>
          </w:p>
        </w:tc>
        <w:tc>
          <w:tcPr>
            <w:tcW w:type="dxa" w:w="2091"/>
            <w:tcMar>
              <w:top w:w="60" w:type="dxa"/>
              <w:start w:w="55" w:type="dxa"/>
              <w:bottom w:w="60" w:type="dxa"/>
              <w:end w:w="55" w:type="dxa"/>
            </w:tcMar>
            <w:shd w:fill="F8F5FB"/>
          </w:tcPr>
          <w:p>
            <w:r>
              <w:rPr>
                <w:rFonts w:ascii="Aptos" w:hAnsi="Aptos"/>
                <w:b w:val="0"/>
                <w:color w:val="1A1033"/>
                <w:sz w:val="14"/>
              </w:rPr>
              <w:t>High</w:t>
            </w:r>
          </w:p>
        </w:tc>
        <w:tc>
          <w:tcPr>
            <w:tcW w:type="dxa" w:w="2091"/>
            <w:tcMar>
              <w:top w:w="60" w:type="dxa"/>
              <w:start w:w="55" w:type="dxa"/>
              <w:bottom w:w="60" w:type="dxa"/>
              <w:end w:w="55" w:type="dxa"/>
            </w:tcMar>
            <w:shd w:fill="F8F5FB"/>
          </w:tcPr>
          <w:p>
            <w:r>
              <w:rPr>
                <w:rFonts w:ascii="Aptos" w:hAnsi="Aptos"/>
                <w:b w:val="0"/>
                <w:color w:val="1A1033"/>
                <w:sz w:val="14"/>
              </w:rPr>
              <w:t>Medium</w:t>
            </w:r>
          </w:p>
        </w:tc>
        <w:tc>
          <w:tcPr>
            <w:tcW w:type="dxa" w:w="2091"/>
            <w:tcMar>
              <w:top w:w="60" w:type="dxa"/>
              <w:start w:w="55" w:type="dxa"/>
              <w:bottom w:w="60" w:type="dxa"/>
              <w:end w:w="55" w:type="dxa"/>
            </w:tcMar>
            <w:shd w:fill="F8F5FB"/>
          </w:tcPr>
          <w:p>
            <w:r>
              <w:rPr>
                <w:rFonts w:ascii="Aptos" w:hAnsi="Aptos"/>
                <w:b w:val="0"/>
                <w:color w:val="1A1033"/>
                <w:sz w:val="14"/>
              </w:rPr>
              <w:t>Med-high</w:t>
            </w:r>
          </w:p>
        </w:tc>
      </w:tr>
      <w:tr>
        <w:tc>
          <w:tcPr>
            <w:tcW w:type="dxa" w:w="2091"/>
            <w:tcMar>
              <w:top w:w="60" w:type="dxa"/>
              <w:start w:w="55" w:type="dxa"/>
              <w:bottom w:w="60" w:type="dxa"/>
              <w:end w:w="55" w:type="dxa"/>
            </w:tcMar>
          </w:tcPr>
          <w:p>
            <w:r>
              <w:rPr>
                <w:rFonts w:ascii="Aptos" w:hAnsi="Aptos"/>
                <w:b w:val="0"/>
                <w:color w:val="1A1033"/>
                <w:sz w:val="14"/>
              </w:rPr>
              <w:t>P1 staged</w:t>
            </w:r>
          </w:p>
        </w:tc>
        <w:tc>
          <w:tcPr>
            <w:tcW w:type="dxa" w:w="2091"/>
            <w:tcMar>
              <w:top w:w="60" w:type="dxa"/>
              <w:start w:w="55" w:type="dxa"/>
              <w:bottom w:w="60" w:type="dxa"/>
              <w:end w:w="55" w:type="dxa"/>
            </w:tcMar>
          </w:tcPr>
          <w:p>
            <w:r>
              <w:rPr>
                <w:rFonts w:ascii="Aptos" w:hAnsi="Aptos"/>
                <w:b w:val="0"/>
                <w:color w:val="1A1033"/>
                <w:sz w:val="14"/>
              </w:rPr>
              <w:t>UPI 123Pay</w:t>
            </w:r>
          </w:p>
        </w:tc>
        <w:tc>
          <w:tcPr>
            <w:tcW w:type="dxa" w:w="2091"/>
            <w:tcMar>
              <w:top w:w="60" w:type="dxa"/>
              <w:start w:w="55" w:type="dxa"/>
              <w:bottom w:w="60" w:type="dxa"/>
              <w:end w:w="55" w:type="dxa"/>
            </w:tcMar>
          </w:tcPr>
          <w:p>
            <w:r>
              <w:rPr>
                <w:rFonts w:ascii="Aptos" w:hAnsi="Aptos"/>
                <w:b w:val="0"/>
                <w:color w:val="1A1033"/>
                <w:sz w:val="14"/>
              </w:rPr>
              <w:t>Strategic</w:t>
            </w:r>
          </w:p>
        </w:tc>
        <w:tc>
          <w:tcPr>
            <w:tcW w:type="dxa" w:w="2091"/>
            <w:tcMar>
              <w:top w:w="60" w:type="dxa"/>
              <w:start w:w="55" w:type="dxa"/>
              <w:bottom w:w="60" w:type="dxa"/>
              <w:end w:w="55" w:type="dxa"/>
            </w:tcMar>
          </w:tcPr>
          <w:p>
            <w:r>
              <w:rPr>
                <w:rFonts w:ascii="Aptos" w:hAnsi="Aptos"/>
                <w:b w:val="0"/>
                <w:color w:val="1A1033"/>
                <w:sz w:val="14"/>
              </w:rPr>
              <w:t>Medium</w:t>
            </w:r>
          </w:p>
        </w:tc>
        <w:tc>
          <w:tcPr>
            <w:tcW w:type="dxa" w:w="2091"/>
            <w:tcMar>
              <w:top w:w="60" w:type="dxa"/>
              <w:start w:w="55" w:type="dxa"/>
              <w:bottom w:w="60" w:type="dxa"/>
              <w:end w:w="55" w:type="dxa"/>
            </w:tcMar>
          </w:tcPr>
          <w:p>
            <w:r>
              <w:rPr>
                <w:rFonts w:ascii="Aptos" w:hAnsi="Aptos"/>
                <w:b w:val="0"/>
                <w:color w:val="1A1033"/>
                <w:sz w:val="14"/>
              </w:rPr>
              <w:t>High</w:t>
            </w:r>
          </w:p>
        </w:tc>
      </w:tr>
      <w:tr>
        <w:tc>
          <w:tcPr>
            <w:tcW w:type="dxa" w:w="2091"/>
            <w:tcMar>
              <w:top w:w="60" w:type="dxa"/>
              <w:start w:w="55" w:type="dxa"/>
              <w:bottom w:w="60" w:type="dxa"/>
              <w:end w:w="55" w:type="dxa"/>
            </w:tcMar>
            <w:shd w:fill="F8F5FB"/>
          </w:tcPr>
          <w:p>
            <w:r>
              <w:rPr>
                <w:rFonts w:ascii="Aptos" w:hAnsi="Aptos"/>
                <w:b w:val="0"/>
                <w:color w:val="1A1033"/>
                <w:sz w:val="14"/>
              </w:rPr>
              <w:t>Avoid</w:t>
            </w:r>
          </w:p>
        </w:tc>
        <w:tc>
          <w:tcPr>
            <w:tcW w:type="dxa" w:w="2091"/>
            <w:tcMar>
              <w:top w:w="60" w:type="dxa"/>
              <w:start w:w="55" w:type="dxa"/>
              <w:bottom w:w="60" w:type="dxa"/>
              <w:end w:w="55" w:type="dxa"/>
            </w:tcMar>
            <w:shd w:fill="F8F5FB"/>
          </w:tcPr>
          <w:p>
            <w:r>
              <w:rPr>
                <w:rFonts w:ascii="Aptos" w:hAnsi="Aptos"/>
                <w:b w:val="0"/>
                <w:color w:val="1A1033"/>
                <w:sz w:val="14"/>
              </w:rPr>
              <w:t>Blanket registration incentives</w:t>
            </w:r>
          </w:p>
        </w:tc>
        <w:tc>
          <w:tcPr>
            <w:tcW w:type="dxa" w:w="2091"/>
            <w:tcMar>
              <w:top w:w="60" w:type="dxa"/>
              <w:start w:w="55" w:type="dxa"/>
              <w:bottom w:w="60" w:type="dxa"/>
              <w:end w:w="55" w:type="dxa"/>
            </w:tcMar>
            <w:shd w:fill="F8F5FB"/>
          </w:tcPr>
          <w:p>
            <w:r>
              <w:rPr>
                <w:rFonts w:ascii="Aptos" w:hAnsi="Aptos"/>
                <w:b w:val="0"/>
                <w:color w:val="1A1033"/>
                <w:sz w:val="14"/>
              </w:rPr>
              <w:t>Low quality</w:t>
            </w:r>
          </w:p>
        </w:tc>
        <w:tc>
          <w:tcPr>
            <w:tcW w:type="dxa" w:w="2091"/>
            <w:tcMar>
              <w:top w:w="60" w:type="dxa"/>
              <w:start w:w="55" w:type="dxa"/>
              <w:bottom w:w="60" w:type="dxa"/>
              <w:end w:w="55" w:type="dxa"/>
            </w:tcMar>
            <w:shd w:fill="F8F5FB"/>
          </w:tcPr>
          <w:p>
            <w:r>
              <w:rPr>
                <w:rFonts w:ascii="Aptos" w:hAnsi="Aptos"/>
                <w:b w:val="0"/>
                <w:color w:val="1A1033"/>
                <w:sz w:val="14"/>
              </w:rPr>
              <w:t>Low</w:t>
            </w:r>
          </w:p>
        </w:tc>
        <w:tc>
          <w:tcPr>
            <w:tcW w:type="dxa" w:w="2091"/>
            <w:tcMar>
              <w:top w:w="60" w:type="dxa"/>
              <w:start w:w="55" w:type="dxa"/>
              <w:bottom w:w="60" w:type="dxa"/>
              <w:end w:w="55" w:type="dxa"/>
            </w:tcMar>
            <w:shd w:fill="F8F5FB"/>
          </w:tcPr>
          <w:p>
            <w:r>
              <w:rPr>
                <w:rFonts w:ascii="Aptos" w:hAnsi="Aptos"/>
                <w:b w:val="0"/>
                <w:color w:val="1A1033"/>
                <w:sz w:val="14"/>
              </w:rPr>
              <w:t>High</w:t>
            </w:r>
          </w:p>
        </w:tc>
      </w:tr>
    </w:tbl>
    <w:p>
      <w:pPr>
        <w:spacing w:after="40"/>
      </w:pPr>
    </w:p>
    <w:tbl>
      <w:tblPr>
        <w:tblStyle w:val="TableGrid"/>
        <w:tblW w:type="auto" w:w="0"/>
        <w:jc w:val="center"/>
        <w:tblLook w:firstColumn="1" w:firstRow="1" w:lastColumn="0" w:lastRow="0" w:noHBand="0" w:noVBand="1" w:val="04A0"/>
      </w:tblPr>
      <w:tblGrid>
        <w:gridCol w:w="5227"/>
        <w:gridCol w:w="5227"/>
      </w:tblGrid>
      <w:tr>
        <w:tc>
          <w:tcPr>
            <w:tcW w:type="dxa" w:w="5227"/>
            <w:shd w:fill="5F259F"/>
            <w:tcMar>
              <w:top w:w="70" w:type="dxa"/>
              <w:start w:w="60" w:type="dxa"/>
              <w:bottom w:w="70" w:type="dxa"/>
              <w:end w:w="60" w:type="dxa"/>
            </w:tcMar>
          </w:tcPr>
          <w:p>
            <w:r>
              <w:rPr>
                <w:rFonts w:ascii="Aptos" w:hAnsi="Aptos"/>
                <w:b/>
                <w:color w:val="FFFFFF"/>
                <w:sz w:val="16"/>
              </w:rPr>
              <w:t>Window</w:t>
            </w:r>
          </w:p>
        </w:tc>
        <w:tc>
          <w:tcPr>
            <w:tcW w:type="dxa" w:w="5227"/>
            <w:shd w:fill="5F259F"/>
            <w:tcMar>
              <w:top w:w="70" w:type="dxa"/>
              <w:start w:w="60" w:type="dxa"/>
              <w:bottom w:w="70" w:type="dxa"/>
              <w:end w:w="60" w:type="dxa"/>
            </w:tcMar>
          </w:tcPr>
          <w:p>
            <w:r>
              <w:rPr>
                <w:rFonts w:ascii="Aptos" w:hAnsi="Aptos"/>
                <w:b/>
                <w:color w:val="FFFFFF"/>
                <w:sz w:val="16"/>
              </w:rPr>
              <w:t>Execution</w:t>
            </w:r>
          </w:p>
        </w:tc>
      </w:tr>
      <w:tr>
        <w:tc>
          <w:tcPr>
            <w:tcW w:type="dxa" w:w="5227"/>
            <w:tcMar>
              <w:top w:w="60" w:type="dxa"/>
              <w:start w:w="55" w:type="dxa"/>
              <w:bottom w:w="60" w:type="dxa"/>
              <w:end w:w="55" w:type="dxa"/>
            </w:tcMar>
          </w:tcPr>
          <w:p>
            <w:r>
              <w:rPr>
                <w:rFonts w:ascii="Aptos" w:hAnsi="Aptos"/>
                <w:b w:val="0"/>
                <w:color w:val="1A1033"/>
                <w:sz w:val="16"/>
              </w:rPr>
              <w:t>0-3m</w:t>
            </w:r>
          </w:p>
        </w:tc>
        <w:tc>
          <w:tcPr>
            <w:tcW w:type="dxa" w:w="5227"/>
            <w:tcMar>
              <w:top w:w="60" w:type="dxa"/>
              <w:start w:w="55" w:type="dxa"/>
              <w:bottom w:w="60" w:type="dxa"/>
              <w:end w:w="55" w:type="dxa"/>
            </w:tcMar>
          </w:tcPr>
          <w:p>
            <w:r>
              <w:rPr>
                <w:rFonts w:ascii="Aptos" w:hAnsi="Aptos"/>
                <w:b w:val="0"/>
                <w:color w:val="1A1033"/>
                <w:sz w:val="16"/>
              </w:rPr>
              <w:t>Define activation; build cohorts; state/district diagnostics</w:t>
            </w:r>
          </w:p>
        </w:tc>
      </w:tr>
      <w:tr>
        <w:tc>
          <w:tcPr>
            <w:tcW w:type="dxa" w:w="5227"/>
            <w:tcMar>
              <w:top w:w="60" w:type="dxa"/>
              <w:start w:w="55" w:type="dxa"/>
              <w:bottom w:w="60" w:type="dxa"/>
              <w:end w:w="55" w:type="dxa"/>
            </w:tcMar>
            <w:shd w:fill="F8F5FB"/>
          </w:tcPr>
          <w:p>
            <w:r>
              <w:rPr>
                <w:rFonts w:ascii="Aptos" w:hAnsi="Aptos"/>
                <w:b w:val="0"/>
                <w:color w:val="1A1033"/>
                <w:sz w:val="16"/>
              </w:rPr>
              <w:t>3-6m</w:t>
            </w:r>
          </w:p>
        </w:tc>
        <w:tc>
          <w:tcPr>
            <w:tcW w:type="dxa" w:w="5227"/>
            <w:tcMar>
              <w:top w:w="60" w:type="dxa"/>
              <w:start w:w="55" w:type="dxa"/>
              <w:bottom w:w="60" w:type="dxa"/>
              <w:end w:w="55" w:type="dxa"/>
            </w:tcMar>
            <w:shd w:fill="F8F5FB"/>
          </w:tcPr>
          <w:p>
            <w:r>
              <w:rPr>
                <w:rFonts w:ascii="Aptos" w:hAnsi="Aptos"/>
                <w:b w:val="0"/>
                <w:color w:val="1A1033"/>
                <w:sz w:val="16"/>
              </w:rPr>
              <w:t>Launchpad + Habit Ladder + device experiments</w:t>
            </w:r>
          </w:p>
        </w:tc>
      </w:tr>
      <w:tr>
        <w:tc>
          <w:tcPr>
            <w:tcW w:type="dxa" w:w="5227"/>
            <w:tcMar>
              <w:top w:w="60" w:type="dxa"/>
              <w:start w:w="55" w:type="dxa"/>
              <w:bottom w:w="60" w:type="dxa"/>
              <w:end w:w="55" w:type="dxa"/>
            </w:tcMar>
          </w:tcPr>
          <w:p>
            <w:r>
              <w:rPr>
                <w:rFonts w:ascii="Aptos" w:hAnsi="Aptos"/>
                <w:b w:val="0"/>
                <w:color w:val="1A1033"/>
                <w:sz w:val="16"/>
              </w:rPr>
              <w:t>6-9m</w:t>
            </w:r>
          </w:p>
        </w:tc>
        <w:tc>
          <w:tcPr>
            <w:tcW w:type="dxa" w:w="5227"/>
            <w:tcMar>
              <w:top w:w="60" w:type="dxa"/>
              <w:start w:w="55" w:type="dxa"/>
              <w:bottom w:w="60" w:type="dxa"/>
              <w:end w:w="55" w:type="dxa"/>
            </w:tcMar>
          </w:tcPr>
          <w:p>
            <w:r>
              <w:rPr>
                <w:rFonts w:ascii="Aptos" w:hAnsi="Aptos"/>
                <w:b w:val="0"/>
                <w:color w:val="1A1033"/>
                <w:sz w:val="16"/>
              </w:rPr>
              <w:t>Scale winners by geography; automate experiment readouts</w:t>
            </w:r>
          </w:p>
        </w:tc>
      </w:tr>
      <w:tr>
        <w:tc>
          <w:tcPr>
            <w:tcW w:type="dxa" w:w="5227"/>
            <w:tcMar>
              <w:top w:w="60" w:type="dxa"/>
              <w:start w:w="55" w:type="dxa"/>
              <w:bottom w:w="60" w:type="dxa"/>
              <w:end w:w="55" w:type="dxa"/>
            </w:tcMar>
            <w:shd w:fill="F8F5FB"/>
          </w:tcPr>
          <w:p>
            <w:r>
              <w:rPr>
                <w:rFonts w:ascii="Aptos" w:hAnsi="Aptos"/>
                <w:b w:val="0"/>
                <w:color w:val="1A1033"/>
                <w:sz w:val="16"/>
              </w:rPr>
              <w:t>9-12m</w:t>
            </w:r>
          </w:p>
        </w:tc>
        <w:tc>
          <w:tcPr>
            <w:tcW w:type="dxa" w:w="5227"/>
            <w:tcMar>
              <w:top w:w="60" w:type="dxa"/>
              <w:start w:w="55" w:type="dxa"/>
              <w:bottom w:w="60" w:type="dxa"/>
              <w:end w:w="55" w:type="dxa"/>
            </w:tcMar>
            <w:shd w:fill="F8F5FB"/>
          </w:tcPr>
          <w:p>
            <w:r>
              <w:rPr>
                <w:rFonts w:ascii="Aptos" w:hAnsi="Aptos"/>
                <w:b w:val="0"/>
                <w:color w:val="1A1033"/>
                <w:sz w:val="16"/>
              </w:rPr>
              <w:t>123Pay activation optimization; deeper merchant monetization</w:t>
            </w:r>
          </w:p>
        </w:tc>
      </w:tr>
    </w:tbl>
    <w:p>
      <w:pPr>
        <w:spacing w:after="40"/>
      </w:pPr>
    </w:p>
    <w:tbl>
      <w:tblPr>
        <w:tblW w:type="auto" w:w="0"/>
        <w:tblLook w:firstColumn="1" w:firstRow="1" w:lastColumn="0" w:lastRow="0" w:noHBand="0" w:noVBand="1" w:val="04A0"/>
      </w:tblPr>
      <w:tblGrid>
        <w:gridCol w:w="10454"/>
      </w:tblGrid>
      <w:tr>
        <w:tc>
          <w:tcPr>
            <w:tcW w:type="dxa" w:w="10454"/>
            <w:shd w:fill="F5F0FA"/>
            <w:tcMar>
              <w:top w:w="130" w:type="dxa"/>
              <w:start w:w="150" w:type="dxa"/>
              <w:bottom w:w="130" w:type="dxa"/>
              <w:end w:w="150" w:type="dxa"/>
            </w:tcMar>
          </w:tcPr>
          <w:p>
            <w:r>
              <w:rPr>
                <w:rFonts w:ascii="Aptos" w:hAnsi="Aptos"/>
                <w:b/>
                <w:color w:val="5F259F"/>
                <w:sz w:val="19"/>
              </w:rPr>
              <w:t xml:space="preserve">RESOURCE PRINCIPLE  </w:t>
            </w:r>
            <w:r>
              <w:rPr>
                <w:rFonts w:ascii="Aptos" w:hAnsi="Aptos"/>
                <w:b w:val="0"/>
                <w:color w:val="1A1033"/>
                <w:sz w:val="18"/>
              </w:rPr>
              <w:t>Spend growth resources where incremental retained activity is strongest, not where registrations are easiest to buy.</w:t>
            </w:r>
          </w:p>
        </w:tc>
      </w:tr>
    </w:tbl>
    <w:p>
      <w:pPr>
        <w:spacing w:after="20"/>
      </w:pPr>
    </w:p>
    <w:p>
      <w:r>
        <w:br w:type="page"/>
      </w:r>
    </w:p>
    <w:p>
      <w:r>
        <w:rPr>
          <w:rFonts w:ascii="Aptos" w:hAnsi="Aptos"/>
          <w:b/>
          <w:color w:val="5F259F"/>
          <w:sz w:val="48"/>
        </w:rPr>
        <w:t>21  Risks, Counterarguments &amp; What Would Change My Mind</w:t>
      </w:r>
    </w:p>
    <w:p>
      <w:r>
        <w:rPr>
          <w:rFonts w:ascii="Aptos" w:hAnsi="Aptos"/>
          <w:b w:val="0"/>
          <w:color w:val="5F6470"/>
          <w:sz w:val="22"/>
        </w:rPr>
        <w:t>A strong case study should be falsifiable.</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5F259F"/>
            <w:tcMar>
              <w:top w:w="70" w:type="dxa"/>
              <w:start w:w="60" w:type="dxa"/>
              <w:bottom w:w="70" w:type="dxa"/>
              <w:end w:w="60" w:type="dxa"/>
            </w:tcMar>
          </w:tcPr>
          <w:p>
            <w:r>
              <w:rPr>
                <w:rFonts w:ascii="Aptos" w:hAnsi="Aptos"/>
                <w:b/>
                <w:color w:val="FFFFFF"/>
                <w:sz w:val="14"/>
              </w:rPr>
              <w:t>Claim risk</w:t>
            </w:r>
          </w:p>
        </w:tc>
        <w:tc>
          <w:tcPr>
            <w:tcW w:type="dxa" w:w="3485"/>
            <w:shd w:fill="5F259F"/>
            <w:tcMar>
              <w:top w:w="70" w:type="dxa"/>
              <w:start w:w="60" w:type="dxa"/>
              <w:bottom w:w="70" w:type="dxa"/>
              <w:end w:w="60" w:type="dxa"/>
            </w:tcMar>
          </w:tcPr>
          <w:p>
            <w:r>
              <w:rPr>
                <w:rFonts w:ascii="Aptos" w:hAnsi="Aptos"/>
                <w:b/>
                <w:color w:val="FFFFFF"/>
                <w:sz w:val="14"/>
              </w:rPr>
              <w:t>Why incomplete</w:t>
            </w:r>
          </w:p>
        </w:tc>
        <w:tc>
          <w:tcPr>
            <w:tcW w:type="dxa" w:w="3485"/>
            <w:shd w:fill="5F259F"/>
            <w:tcMar>
              <w:top w:w="70" w:type="dxa"/>
              <w:start w:w="60" w:type="dxa"/>
              <w:bottom w:w="70" w:type="dxa"/>
              <w:end w:w="60" w:type="dxa"/>
            </w:tcMar>
          </w:tcPr>
          <w:p>
            <w:r>
              <w:rPr>
                <w:rFonts w:ascii="Aptos" w:hAnsi="Aptos"/>
                <w:b/>
                <w:color w:val="FFFFFF"/>
                <w:sz w:val="14"/>
              </w:rPr>
              <w:t>Correction</w:t>
            </w:r>
          </w:p>
        </w:tc>
      </w:tr>
      <w:tr>
        <w:tc>
          <w:tcPr>
            <w:tcW w:type="dxa" w:w="3485"/>
            <w:tcMar>
              <w:top w:w="60" w:type="dxa"/>
              <w:start w:w="55" w:type="dxa"/>
              <w:bottom w:w="60" w:type="dxa"/>
              <w:end w:w="55" w:type="dxa"/>
            </w:tcMar>
          </w:tcPr>
          <w:p>
            <w:r>
              <w:rPr>
                <w:rFonts w:ascii="Aptos" w:hAnsi="Aptos"/>
                <w:b w:val="0"/>
                <w:color w:val="1A1033"/>
                <w:sz w:val="14"/>
              </w:rPr>
              <w:t>Registered/MAC ratio looks low</w:t>
            </w:r>
          </w:p>
        </w:tc>
        <w:tc>
          <w:tcPr>
            <w:tcW w:type="dxa" w:w="3485"/>
            <w:tcMar>
              <w:top w:w="60" w:type="dxa"/>
              <w:start w:w="55" w:type="dxa"/>
              <w:bottom w:w="60" w:type="dxa"/>
              <w:end w:w="55" w:type="dxa"/>
            </w:tcMar>
          </w:tcPr>
          <w:p>
            <w:r>
              <w:rPr>
                <w:rFonts w:ascii="Aptos" w:hAnsi="Aptos"/>
                <w:b w:val="0"/>
                <w:color w:val="1A1033"/>
                <w:sz w:val="14"/>
              </w:rPr>
              <w:t>LTD denominator is not a cohort</w:t>
            </w:r>
          </w:p>
        </w:tc>
        <w:tc>
          <w:tcPr>
            <w:tcW w:type="dxa" w:w="3485"/>
            <w:tcMar>
              <w:top w:w="60" w:type="dxa"/>
              <w:start w:w="55" w:type="dxa"/>
              <w:bottom w:w="60" w:type="dxa"/>
              <w:end w:w="55" w:type="dxa"/>
            </w:tcMar>
          </w:tcPr>
          <w:p>
            <w:r>
              <w:rPr>
                <w:rFonts w:ascii="Aptos" w:hAnsi="Aptos"/>
                <w:b w:val="0"/>
                <w:color w:val="1A1033"/>
                <w:sz w:val="14"/>
              </w:rPr>
              <w:t>Use cohort activation/retention</w:t>
            </w:r>
          </w:p>
        </w:tc>
      </w:tr>
      <w:tr>
        <w:tc>
          <w:tcPr>
            <w:tcW w:type="dxa" w:w="3485"/>
            <w:tcMar>
              <w:top w:w="60" w:type="dxa"/>
              <w:start w:w="55" w:type="dxa"/>
              <w:bottom w:w="60" w:type="dxa"/>
              <w:end w:w="55" w:type="dxa"/>
            </w:tcMar>
            <w:shd w:fill="F8F5FB"/>
          </w:tcPr>
          <w:p>
            <w:r>
              <w:rPr>
                <w:rFonts w:ascii="Aptos" w:hAnsi="Aptos"/>
                <w:b w:val="0"/>
                <w:color w:val="1A1033"/>
                <w:sz w:val="14"/>
              </w:rPr>
              <w:t>Device merchants retain better</w:t>
            </w:r>
          </w:p>
        </w:tc>
        <w:tc>
          <w:tcPr>
            <w:tcW w:type="dxa" w:w="3485"/>
            <w:tcMar>
              <w:top w:w="60" w:type="dxa"/>
              <w:start w:w="55" w:type="dxa"/>
              <w:bottom w:w="60" w:type="dxa"/>
              <w:end w:w="55" w:type="dxa"/>
            </w:tcMar>
            <w:shd w:fill="F8F5FB"/>
          </w:tcPr>
          <w:p>
            <w:r>
              <w:rPr>
                <w:rFonts w:ascii="Aptos" w:hAnsi="Aptos"/>
                <w:b w:val="0"/>
                <w:color w:val="1A1033"/>
                <w:sz w:val="14"/>
              </w:rPr>
              <w:t>Selection bias</w:t>
            </w:r>
          </w:p>
        </w:tc>
        <w:tc>
          <w:tcPr>
            <w:tcW w:type="dxa" w:w="3485"/>
            <w:tcMar>
              <w:top w:w="60" w:type="dxa"/>
              <w:start w:w="55" w:type="dxa"/>
              <w:bottom w:w="60" w:type="dxa"/>
              <w:end w:w="55" w:type="dxa"/>
            </w:tcMar>
            <w:shd w:fill="F8F5FB"/>
          </w:tcPr>
          <w:p>
            <w:r>
              <w:rPr>
                <w:rFonts w:ascii="Aptos" w:hAnsi="Aptos"/>
                <w:b w:val="0"/>
                <w:color w:val="1A1033"/>
                <w:sz w:val="14"/>
              </w:rPr>
              <w:t>Randomized eligibility / matching</w:t>
            </w:r>
          </w:p>
        </w:tc>
      </w:tr>
      <w:tr>
        <w:tc>
          <w:tcPr>
            <w:tcW w:type="dxa" w:w="3485"/>
            <w:tcMar>
              <w:top w:w="60" w:type="dxa"/>
              <w:start w:w="55" w:type="dxa"/>
              <w:bottom w:w="60" w:type="dxa"/>
              <w:end w:w="55" w:type="dxa"/>
            </w:tcMar>
          </w:tcPr>
          <w:p>
            <w:r>
              <w:rPr>
                <w:rFonts w:ascii="Aptos" w:hAnsi="Aptos"/>
                <w:b w:val="0"/>
                <w:color w:val="1A1033"/>
                <w:sz w:val="14"/>
              </w:rPr>
              <w:t>More transactions = growth</w:t>
            </w:r>
          </w:p>
        </w:tc>
        <w:tc>
          <w:tcPr>
            <w:tcW w:type="dxa" w:w="3485"/>
            <w:tcMar>
              <w:top w:w="60" w:type="dxa"/>
              <w:start w:w="55" w:type="dxa"/>
              <w:bottom w:w="60" w:type="dxa"/>
              <w:end w:w="55" w:type="dxa"/>
            </w:tcMar>
          </w:tcPr>
          <w:p>
            <w:r>
              <w:rPr>
                <w:rFonts w:ascii="Aptos" w:hAnsi="Aptos"/>
                <w:b w:val="0"/>
                <w:color w:val="1A1033"/>
                <w:sz w:val="14"/>
              </w:rPr>
              <w:t>May add fraud/support/cost</w:t>
            </w:r>
          </w:p>
        </w:tc>
        <w:tc>
          <w:tcPr>
            <w:tcW w:type="dxa" w:w="3485"/>
            <w:tcMar>
              <w:top w:w="60" w:type="dxa"/>
              <w:start w:w="55" w:type="dxa"/>
              <w:bottom w:w="60" w:type="dxa"/>
              <w:end w:w="55" w:type="dxa"/>
            </w:tcMar>
          </w:tcPr>
          <w:p>
            <w:r>
              <w:rPr>
                <w:rFonts w:ascii="Aptos" w:hAnsi="Aptos"/>
                <w:b w:val="0"/>
                <w:color w:val="1A1033"/>
                <w:sz w:val="14"/>
              </w:rPr>
              <w:t>Use trust/economic guardrails</w:t>
            </w:r>
          </w:p>
        </w:tc>
      </w:tr>
      <w:tr>
        <w:tc>
          <w:tcPr>
            <w:tcW w:type="dxa" w:w="3485"/>
            <w:tcMar>
              <w:top w:w="60" w:type="dxa"/>
              <w:start w:w="55" w:type="dxa"/>
              <w:bottom w:w="60" w:type="dxa"/>
              <w:end w:w="55" w:type="dxa"/>
            </w:tcMar>
            <w:shd w:fill="F8F5FB"/>
          </w:tcPr>
          <w:p>
            <w:r>
              <w:rPr>
                <w:rFonts w:ascii="Aptos" w:hAnsi="Aptos"/>
                <w:b w:val="0"/>
                <w:color w:val="1A1033"/>
                <w:sz w:val="14"/>
              </w:rPr>
              <w:t>Pulse = UPI market share</w:t>
            </w:r>
          </w:p>
        </w:tc>
        <w:tc>
          <w:tcPr>
            <w:tcW w:type="dxa" w:w="3485"/>
            <w:tcMar>
              <w:top w:w="60" w:type="dxa"/>
              <w:start w:w="55" w:type="dxa"/>
              <w:bottom w:w="60" w:type="dxa"/>
              <w:end w:w="55" w:type="dxa"/>
            </w:tcMar>
            <w:shd w:fill="F8F5FB"/>
          </w:tcPr>
          <w:p>
            <w:r>
              <w:rPr>
                <w:rFonts w:ascii="Aptos" w:hAnsi="Aptos"/>
                <w:b w:val="0"/>
                <w:color w:val="1A1033"/>
                <w:sz w:val="14"/>
              </w:rPr>
              <w:t>Metric definitions differ</w:t>
            </w:r>
          </w:p>
        </w:tc>
        <w:tc>
          <w:tcPr>
            <w:tcW w:type="dxa" w:w="3485"/>
            <w:tcMar>
              <w:top w:w="60" w:type="dxa"/>
              <w:start w:w="55" w:type="dxa"/>
              <w:bottom w:w="60" w:type="dxa"/>
              <w:end w:w="55" w:type="dxa"/>
            </w:tcMar>
            <w:shd w:fill="F8F5FB"/>
          </w:tcPr>
          <w:p>
            <w:r>
              <w:rPr>
                <w:rFonts w:ascii="Aptos" w:hAnsi="Aptos"/>
                <w:b w:val="0"/>
                <w:color w:val="1A1033"/>
                <w:sz w:val="14"/>
              </w:rPr>
              <w:t>Use NPCI TPAP data for share</w:t>
            </w:r>
          </w:p>
        </w:tc>
      </w:tr>
      <w:tr>
        <w:tc>
          <w:tcPr>
            <w:tcW w:type="dxa" w:w="3485"/>
            <w:tcMar>
              <w:top w:w="60" w:type="dxa"/>
              <w:start w:w="55" w:type="dxa"/>
              <w:bottom w:w="60" w:type="dxa"/>
              <w:end w:w="55" w:type="dxa"/>
            </w:tcMar>
          </w:tcPr>
          <w:p>
            <w:r>
              <w:rPr>
                <w:rFonts w:ascii="Aptos" w:hAnsi="Aptos"/>
                <w:b w:val="0"/>
                <w:color w:val="1A1033"/>
                <w:sz w:val="14"/>
              </w:rPr>
              <w:t>123Pay addressable base is huge</w:t>
            </w:r>
          </w:p>
        </w:tc>
        <w:tc>
          <w:tcPr>
            <w:tcW w:type="dxa" w:w="3485"/>
            <w:tcMar>
              <w:top w:w="60" w:type="dxa"/>
              <w:start w:w="55" w:type="dxa"/>
              <w:bottom w:w="60" w:type="dxa"/>
              <w:end w:w="55" w:type="dxa"/>
            </w:tcMar>
          </w:tcPr>
          <w:p>
            <w:r>
              <w:rPr>
                <w:rFonts w:ascii="Aptos" w:hAnsi="Aptos"/>
                <w:b w:val="0"/>
                <w:color w:val="1A1033"/>
                <w:sz w:val="14"/>
              </w:rPr>
              <w:t>Addressable ≠ activated</w:t>
            </w:r>
          </w:p>
        </w:tc>
        <w:tc>
          <w:tcPr>
            <w:tcW w:type="dxa" w:w="3485"/>
            <w:tcMar>
              <w:top w:w="60" w:type="dxa"/>
              <w:start w:w="55" w:type="dxa"/>
              <w:bottom w:w="60" w:type="dxa"/>
              <w:end w:w="55" w:type="dxa"/>
            </w:tcMar>
          </w:tcPr>
          <w:p>
            <w:r>
              <w:rPr>
                <w:rFonts w:ascii="Aptos" w:hAnsi="Aptos"/>
                <w:b w:val="0"/>
                <w:color w:val="1A1033"/>
                <w:sz w:val="14"/>
              </w:rPr>
              <w:t>Measure D30 retained payer</w:t>
            </w:r>
          </w:p>
        </w:tc>
      </w:tr>
      <w:tr>
        <w:tc>
          <w:tcPr>
            <w:tcW w:type="dxa" w:w="3485"/>
            <w:tcMar>
              <w:top w:w="60" w:type="dxa"/>
              <w:start w:w="55" w:type="dxa"/>
              <w:bottom w:w="60" w:type="dxa"/>
              <w:end w:w="55" w:type="dxa"/>
            </w:tcMar>
            <w:shd w:fill="F8F5FB"/>
          </w:tcPr>
          <w:p>
            <w:r>
              <w:rPr>
                <w:rFonts w:ascii="Aptos" w:hAnsi="Aptos"/>
                <w:b w:val="0"/>
                <w:color w:val="1A1033"/>
                <w:sz w:val="14"/>
              </w:rPr>
              <w:t>Geo score says UP is best</w:t>
            </w:r>
          </w:p>
        </w:tc>
        <w:tc>
          <w:tcPr>
            <w:tcW w:type="dxa" w:w="3485"/>
            <w:tcMar>
              <w:top w:w="60" w:type="dxa"/>
              <w:start w:w="55" w:type="dxa"/>
              <w:bottom w:w="60" w:type="dxa"/>
              <w:end w:w="55" w:type="dxa"/>
            </w:tcMar>
            <w:shd w:fill="F8F5FB"/>
          </w:tcPr>
          <w:p>
            <w:r>
              <w:rPr>
                <w:rFonts w:ascii="Aptos" w:hAnsi="Aptos"/>
                <w:b w:val="0"/>
                <w:color w:val="1A1033"/>
                <w:sz w:val="14"/>
              </w:rPr>
              <w:t>Weights are modeled</w:t>
            </w:r>
          </w:p>
        </w:tc>
        <w:tc>
          <w:tcPr>
            <w:tcW w:type="dxa" w:w="3485"/>
            <w:tcMar>
              <w:top w:w="60" w:type="dxa"/>
              <w:start w:w="55" w:type="dxa"/>
              <w:bottom w:w="60" w:type="dxa"/>
              <w:end w:w="55" w:type="dxa"/>
            </w:tcMar>
            <w:shd w:fill="F8F5FB"/>
          </w:tcPr>
          <w:p>
            <w:r>
              <w:rPr>
                <w:rFonts w:ascii="Aptos" w:hAnsi="Aptos"/>
                <w:b w:val="0"/>
                <w:color w:val="1A1033"/>
                <w:sz w:val="14"/>
              </w:rPr>
              <w:t>Replace with internal contribution/CAC/MAM</w:t>
            </w:r>
          </w:p>
        </w:tc>
      </w:tr>
    </w:tbl>
    <w:p>
      <w:pPr>
        <w:spacing w:after="40"/>
      </w:pPr>
    </w:p>
    <w:p>
      <w:pPr>
        <w:pStyle w:val="Heading2"/>
        <w:spacing w:before="120" w:after="80"/>
      </w:pPr>
      <w:r>
        <w:rPr>
          <w:rFonts w:ascii="Aptos" w:hAnsi="Aptos"/>
          <w:b/>
          <w:color w:val="1A1033"/>
          <w:sz w:val="24"/>
        </w:rPr>
        <w:t>What would change the recommendation?</w:t>
      </w:r>
    </w:p>
    <w:p>
      <w:pPr>
        <w:pStyle w:val="ListBullet"/>
        <w:spacing w:after="40"/>
        <w:ind w:left="259"/>
      </w:pPr>
      <w:r>
        <w:rPr>
          <w:rFonts w:ascii="Aptos" w:hAnsi="Aptos"/>
          <w:b w:val="0"/>
          <w:color w:val="1A1033"/>
          <w:sz w:val="18"/>
        </w:rPr>
        <w:t>If internal data shows merchant activation already saturates quickly, shift P0 toward monetization/service economics.</w:t>
      </w:r>
    </w:p>
    <w:p>
      <w:pPr>
        <w:pStyle w:val="ListBullet"/>
        <w:spacing w:after="40"/>
        <w:ind w:left="259"/>
      </w:pPr>
      <w:r>
        <w:rPr>
          <w:rFonts w:ascii="Aptos" w:hAnsi="Aptos"/>
          <w:b w:val="0"/>
          <w:color w:val="1A1033"/>
          <w:sz w:val="18"/>
        </w:rPr>
        <w:t>If incremental TPAM has negative processing economics, optimize revenue-generating use cases rather than transaction count.</w:t>
      </w:r>
    </w:p>
    <w:p>
      <w:pPr>
        <w:pStyle w:val="ListBullet"/>
        <w:spacing w:after="40"/>
        <w:ind w:left="259"/>
      </w:pPr>
      <w:r>
        <w:rPr>
          <w:rFonts w:ascii="Aptos" w:hAnsi="Aptos"/>
          <w:b w:val="0"/>
          <w:color w:val="1A1033"/>
          <w:sz w:val="18"/>
        </w:rPr>
        <w:t>If device deployment produces weak incremental retention after causal adjustment, reduce hardware expansion.</w:t>
      </w:r>
    </w:p>
    <w:p>
      <w:pPr>
        <w:pStyle w:val="ListBullet"/>
        <w:spacing w:after="40"/>
        <w:ind w:left="259"/>
      </w:pPr>
      <w:r>
        <w:rPr>
          <w:rFonts w:ascii="Aptos" w:hAnsi="Aptos"/>
          <w:b w:val="0"/>
          <w:color w:val="1A1033"/>
          <w:sz w:val="18"/>
        </w:rPr>
        <w:t>If feature-phone setup/support cost overwhelms retained usage, narrow 123Pay rollout to high-readiness segments.</w:t>
      </w:r>
    </w:p>
    <w:p>
      <w:r>
        <w:br w:type="page"/>
      </w:r>
    </w:p>
    <w:p>
      <w:r>
        <w:rPr>
          <w:rFonts w:ascii="Aptos" w:hAnsi="Aptos"/>
          <w:b/>
          <w:color w:val="5F259F"/>
          <w:sz w:val="48"/>
        </w:rPr>
        <w:t>22  Final Recommendation</w:t>
      </w:r>
    </w:p>
    <w:p>
      <w:r>
        <w:rPr>
          <w:rFonts w:ascii="Aptos" w:hAnsi="Aptos"/>
          <w:b w:val="0"/>
          <w:color w:val="5F6470"/>
          <w:sz w:val="22"/>
        </w:rPr>
        <w:t>Acquire reach once; compound value through retained activity, depth, trust and relevant monetization.</w:t>
      </w:r>
    </w:p>
    <w:tbl>
      <w:tblPr>
        <w:tblW w:type="auto" w:w="0"/>
        <w:jc w:val="center"/>
        <w:tblLayout w:type="autofit"/>
        <w:tblLook w:firstColumn="1" w:firstRow="1" w:lastColumn="0" w:lastRow="0" w:noHBand="0" w:noVBand="1" w:val="04A0"/>
      </w:tblPr>
      <w:tblGrid>
        <w:gridCol w:w="2613"/>
        <w:gridCol w:w="2613"/>
        <w:gridCol w:w="2613"/>
        <w:gridCol w:w="2613"/>
      </w:tblGrid>
      <w:tr>
        <w:tc>
          <w:tcPr>
            <w:tcW w:type="dxa" w:w="2613"/>
            <w:shd w:fill="F5F0FA"/>
            <w:tcMar>
              <w:top w:w="100" w:type="dxa"/>
              <w:start w:w="80" w:type="dxa"/>
              <w:bottom w:w="100" w:type="dxa"/>
              <w:end w:w="80" w:type="dxa"/>
            </w:tcMar>
            <w:vAlign w:val="center"/>
          </w:tcPr>
          <w:p>
            <w:pPr>
              <w:jc w:val="center"/>
            </w:pPr>
            <w:r>
              <w:rPr>
                <w:rFonts w:ascii="Aptos" w:hAnsi="Aptos"/>
                <w:b/>
                <w:color w:val="5F259F"/>
                <w:sz w:val="36"/>
              </w:rPr>
              <w:t>P0</w:t>
            </w:r>
          </w:p>
          <w:p>
            <w:pPr>
              <w:jc w:val="center"/>
            </w:pPr>
            <w:r>
              <w:rPr>
                <w:rFonts w:ascii="Aptos" w:hAnsi="Aptos"/>
                <w:b w:val="0"/>
                <w:color w:val="5F6470"/>
                <w:sz w:val="15"/>
              </w:rPr>
              <w:t>Merchant activation</w:t>
            </w:r>
          </w:p>
        </w:tc>
        <w:tc>
          <w:tcPr>
            <w:tcW w:type="dxa" w:w="2613"/>
            <w:shd w:fill="F5F0FA"/>
            <w:tcMar>
              <w:top w:w="100" w:type="dxa"/>
              <w:start w:w="80" w:type="dxa"/>
              <w:bottom w:w="100" w:type="dxa"/>
              <w:end w:w="80" w:type="dxa"/>
            </w:tcMar>
            <w:vAlign w:val="center"/>
          </w:tcPr>
          <w:p>
            <w:pPr>
              <w:jc w:val="center"/>
            </w:pPr>
            <w:r>
              <w:rPr>
                <w:rFonts w:ascii="Aptos" w:hAnsi="Aptos"/>
                <w:b/>
                <w:color w:val="5F259F"/>
                <w:sz w:val="36"/>
              </w:rPr>
              <w:t>P0</w:t>
            </w:r>
          </w:p>
          <w:p>
            <w:pPr>
              <w:jc w:val="center"/>
            </w:pPr>
            <w:r>
              <w:rPr>
                <w:rFonts w:ascii="Aptos" w:hAnsi="Aptos"/>
                <w:b w:val="0"/>
                <w:color w:val="5F6470"/>
                <w:sz w:val="15"/>
              </w:rPr>
              <w:t>Geo targeting</w:t>
            </w:r>
          </w:p>
        </w:tc>
        <w:tc>
          <w:tcPr>
            <w:tcW w:type="dxa" w:w="2613"/>
            <w:shd w:fill="F5F0FA"/>
            <w:tcMar>
              <w:top w:w="100" w:type="dxa"/>
              <w:start w:w="80" w:type="dxa"/>
              <w:bottom w:w="100" w:type="dxa"/>
              <w:end w:w="80" w:type="dxa"/>
            </w:tcMar>
            <w:vAlign w:val="center"/>
          </w:tcPr>
          <w:p>
            <w:pPr>
              <w:jc w:val="center"/>
            </w:pPr>
            <w:r>
              <w:rPr>
                <w:rFonts w:ascii="Aptos" w:hAnsi="Aptos"/>
                <w:b/>
                <w:color w:val="5F259F"/>
                <w:sz w:val="36"/>
              </w:rPr>
              <w:t>P1</w:t>
            </w:r>
          </w:p>
          <w:p>
            <w:pPr>
              <w:jc w:val="center"/>
            </w:pPr>
            <w:r>
              <w:rPr>
                <w:rFonts w:ascii="Aptos" w:hAnsi="Aptos"/>
                <w:b w:val="0"/>
                <w:color w:val="5F6470"/>
                <w:sz w:val="15"/>
              </w:rPr>
              <w:t>Habit depth</w:t>
            </w:r>
          </w:p>
        </w:tc>
        <w:tc>
          <w:tcPr>
            <w:tcW w:type="dxa" w:w="2613"/>
            <w:shd w:fill="F5F0FA"/>
            <w:tcMar>
              <w:top w:w="100" w:type="dxa"/>
              <w:start w:w="80" w:type="dxa"/>
              <w:bottom w:w="100" w:type="dxa"/>
              <w:end w:w="80" w:type="dxa"/>
            </w:tcMar>
            <w:vAlign w:val="center"/>
          </w:tcPr>
          <w:p>
            <w:pPr>
              <w:jc w:val="center"/>
            </w:pPr>
            <w:r>
              <w:rPr>
                <w:rFonts w:ascii="Aptos" w:hAnsi="Aptos"/>
                <w:b/>
                <w:color w:val="5F259F"/>
                <w:sz w:val="36"/>
              </w:rPr>
              <w:t>P1</w:t>
            </w:r>
          </w:p>
          <w:p>
            <w:pPr>
              <w:jc w:val="center"/>
            </w:pPr>
            <w:r>
              <w:rPr>
                <w:rFonts w:ascii="Aptos" w:hAnsi="Aptos"/>
                <w:b w:val="0"/>
                <w:color w:val="5F6470"/>
                <w:sz w:val="15"/>
              </w:rPr>
              <w:t>Merchant monetization</w:t>
            </w:r>
          </w:p>
        </w:tc>
      </w:tr>
    </w:tbl>
    <w:p>
      <w:pPr>
        <w:spacing w:after="20"/>
      </w:pPr>
    </w:p>
    <w:p>
      <w:pPr>
        <w:spacing w:after="80" w:line="259" w:lineRule="auto"/>
      </w:pPr>
      <w:r>
        <w:rPr>
          <w:rFonts w:ascii="Aptos" w:hAnsi="Aptos"/>
          <w:b w:val="0"/>
          <w:color w:val="1A1033"/>
          <w:sz w:val="19"/>
        </w:rPr>
        <w:t>PhonePe should manage the next phase of payments growth as a quality-of-engagement problem. The public data shows scale, but it also shows that the active base is much smaller than lifetime registrations and that active users/merchants are becoming increasingly habitual. This is the exact environment where activation quality and monetization fit matter more than a generic acquisition push.</w:t>
      </w:r>
    </w:p>
    <w:p>
      <w:pPr>
        <w:pStyle w:val="Heading2"/>
        <w:spacing w:before="120" w:after="80"/>
      </w:pPr>
      <w:r>
        <w:rPr>
          <w:rFonts w:ascii="Aptos" w:hAnsi="Aptos"/>
          <w:b/>
          <w:color w:val="1A1033"/>
          <w:sz w:val="24"/>
        </w:rPr>
        <w:t>Resume-ready bullets</w:t>
      </w:r>
    </w:p>
    <w:p>
      <w:pPr>
        <w:pStyle w:val="ListBullet"/>
        <w:spacing w:after="40"/>
        <w:ind w:left="259"/>
      </w:pPr>
      <w:r>
        <w:rPr>
          <w:rFonts w:ascii="Aptos" w:hAnsi="Aptos"/>
          <w:b w:val="0"/>
          <w:color w:val="1A1033"/>
          <w:sz w:val="18"/>
        </w:rPr>
        <w:t>Analyzed PhonePe's 711.7M Q2'26 registered users, 50.7M merchants, payment mix and geographic Pulse data alongside UDRHP engagement metrics to separate acquisition scale from active payment depth.</w:t>
      </w:r>
    </w:p>
    <w:p>
      <w:pPr>
        <w:pStyle w:val="ListBullet"/>
        <w:spacing w:after="40"/>
        <w:ind w:left="259"/>
      </w:pPr>
      <w:r>
        <w:rPr>
          <w:rFonts w:ascii="Aptos" w:hAnsi="Aptos"/>
          <w:b w:val="0"/>
          <w:color w:val="1A1033"/>
          <w:sz w:val="18"/>
        </w:rPr>
        <w:t>Built a state-level activation framework across transaction intensity, merchant density and user scale, identifying high-distribution / lower-engagement markets for targeted activation.</w:t>
      </w:r>
    </w:p>
    <w:p>
      <w:pPr>
        <w:pStyle w:val="ListBullet"/>
        <w:spacing w:after="40"/>
        <w:ind w:left="259"/>
      </w:pPr>
      <w:r>
        <w:rPr>
          <w:rFonts w:ascii="Aptos" w:hAnsi="Aptos"/>
          <w:b w:val="0"/>
          <w:color w:val="1A1033"/>
          <w:sz w:val="18"/>
        </w:rPr>
        <w:t>Designed merchant funnel, cohort-retention and A/B testing frameworks across first transaction → D7 activation → D30 retention → high-frequency usage → device/services monetization; implemented reproducible SQL using clearly labeled synthetic merchant-level data.</w:t>
      </w:r>
    </w:p>
    <w:p>
      <w:pPr>
        <w:pStyle w:val="ListBullet"/>
        <w:spacing w:after="40"/>
        <w:ind w:left="259"/>
      </w:pPr>
      <w:r>
        <w:rPr>
          <w:rFonts w:ascii="Aptos" w:hAnsi="Aptos"/>
          <w:b w:val="0"/>
          <w:color w:val="1A1033"/>
          <w:sz w:val="18"/>
        </w:rPr>
        <w:t>Modeled a 3% lift in active merchants at Sep-2025 TPAM as ~126M incremental merchant transactions/month, with fraud, support, retention and monetization guardrails.</w:t>
      </w:r>
    </w:p>
    <w:p>
      <w:pPr>
        <w:pStyle w:val="Heading2"/>
        <w:spacing w:before="120" w:after="80"/>
      </w:pPr>
      <w:r>
        <w:rPr>
          <w:rFonts w:ascii="Aptos" w:hAnsi="Aptos"/>
          <w:b/>
          <w:color w:val="1A1033"/>
          <w:sz w:val="24"/>
        </w:rPr>
        <w:t>30-second interview pitch</w:t>
      </w:r>
    </w:p>
    <w:tbl>
      <w:tblPr>
        <w:tblW w:type="auto" w:w="0"/>
        <w:tblLook w:firstColumn="1" w:firstRow="1" w:lastColumn="0" w:lastRow="0" w:noHBand="0" w:noVBand="1" w:val="04A0"/>
      </w:tblPr>
      <w:tblGrid>
        <w:gridCol w:w="10454"/>
      </w:tblGrid>
      <w:tr>
        <w:tc>
          <w:tcPr>
            <w:tcW w:type="dxa" w:w="10454"/>
            <w:shd w:fill="F5F0FA"/>
            <w:tcMar>
              <w:top w:w="130" w:type="dxa"/>
              <w:start w:w="150" w:type="dxa"/>
              <w:bottom w:w="130" w:type="dxa"/>
              <w:end w:w="150" w:type="dxa"/>
            </w:tcMar>
          </w:tcPr>
          <w:p>
            <w:r>
              <w:rPr>
                <w:rFonts w:ascii="Aptos" w:hAnsi="Aptos"/>
                <w:b/>
                <w:color w:val="5F259F"/>
                <w:sz w:val="19"/>
              </w:rPr>
              <w:t xml:space="preserve">PITCH  </w:t>
            </w:r>
            <w:r>
              <w:rPr>
                <w:rFonts w:ascii="Aptos" w:hAnsi="Aptos"/>
                <w:b w:val="0"/>
                <w:color w:val="1A1033"/>
                <w:sz w:val="18"/>
              </w:rPr>
              <w:t>I treated PhonePe as an activation-and-depth problem rather than a market-share case. It already has 700M+ registered users and 50M+ merchants, but public filings show a much smaller active base while active users and merchants are becoming highly habitual. I combined Pulse geography and transaction data with disclosed engagement metrics to locate activation headroom, then built merchant activation, consumer habit, device/financial-service and feature-phone workstreams. The repository includes SQL funnel/cohort/experiment workflows on synthetic merchant data because public Pulse is aggregated, and every modeled number is separated from reported facts.</w:t>
            </w:r>
          </w:p>
        </w:tc>
      </w:tr>
    </w:tbl>
    <w:p>
      <w:pPr>
        <w:spacing w:after="20"/>
      </w:pPr>
    </w:p>
    <w:p>
      <w:r>
        <w:br w:type="page"/>
      </w:r>
    </w:p>
    <w:p>
      <w:r>
        <w:rPr>
          <w:rFonts w:ascii="Aptos" w:hAnsi="Aptos"/>
          <w:b/>
          <w:color w:val="5F259F"/>
          <w:sz w:val="48"/>
        </w:rPr>
        <w:t>23  Methodology &amp; Source Discipline</w:t>
      </w:r>
    </w:p>
    <w:p>
      <w:r>
        <w:rPr>
          <w:rFonts w:ascii="Aptos" w:hAnsi="Aptos"/>
          <w:b w:val="0"/>
          <w:color w:val="5F6470"/>
          <w:sz w:val="22"/>
        </w:rPr>
        <w:t>Why the project is credible in an interview.</w:t>
      </w:r>
    </w:p>
    <w:p>
      <w:pPr>
        <w:pStyle w:val="ListBullet"/>
        <w:spacing w:after="40"/>
        <w:ind w:left="259"/>
      </w:pPr>
      <w:r>
        <w:rPr>
          <w:rFonts w:ascii="Aptos" w:hAnsi="Aptos"/>
          <w:b w:val="0"/>
          <w:color w:val="1A1033"/>
          <w:sz w:val="18"/>
        </w:rPr>
        <w:t>REPORTED: figures quoted directly from PhonePe, NPCI, regulatory filings or current reporting on those filings.</w:t>
      </w:r>
    </w:p>
    <w:p>
      <w:pPr>
        <w:pStyle w:val="ListBullet"/>
        <w:spacing w:after="40"/>
        <w:ind w:left="259"/>
      </w:pPr>
      <w:r>
        <w:rPr>
          <w:rFonts w:ascii="Aptos" w:hAnsi="Aptos"/>
          <w:b w:val="0"/>
          <w:color w:val="1A1033"/>
          <w:sz w:val="18"/>
        </w:rPr>
        <w:t>DERIVED: ratios calculated directly from reported numerators/denominators, e.g. Q2 transactions per LTD registered user.</w:t>
      </w:r>
    </w:p>
    <w:p>
      <w:pPr>
        <w:pStyle w:val="ListBullet"/>
        <w:spacing w:after="40"/>
        <w:ind w:left="259"/>
      </w:pPr>
      <w:r>
        <w:rPr>
          <w:rFonts w:ascii="Aptos" w:hAnsi="Aptos"/>
          <w:b w:val="0"/>
          <w:color w:val="1A1033"/>
          <w:sz w:val="18"/>
        </w:rPr>
        <w:t>MODELED: opportunity scores, funnel conversion, cohort tables, experiment outcomes and impact sensitivities.</w:t>
      </w:r>
    </w:p>
    <w:p>
      <w:pPr>
        <w:pStyle w:val="ListBullet"/>
        <w:spacing w:after="40"/>
        <w:ind w:left="259"/>
      </w:pPr>
      <w:r>
        <w:rPr>
          <w:rFonts w:ascii="Aptos" w:hAnsi="Aptos"/>
          <w:b w:val="0"/>
          <w:color w:val="1A1033"/>
          <w:sz w:val="18"/>
        </w:rPr>
        <w:t>PhonePe Pulse current release restates historical data under new definitions; old and refreshed releases are not joined into one growth series.</w:t>
      </w:r>
    </w:p>
    <w:p>
      <w:pPr>
        <w:pStyle w:val="ListBullet"/>
        <w:spacing w:after="40"/>
        <w:ind w:left="259"/>
      </w:pPr>
      <w:r>
        <w:rPr>
          <w:rFonts w:ascii="Aptos" w:hAnsi="Aptos"/>
          <w:b w:val="0"/>
          <w:color w:val="1A1033"/>
          <w:sz w:val="18"/>
        </w:rPr>
        <w:t>Pulse total transaction definitions are not used as payer-app UPI market-share definitions.</w:t>
      </w:r>
    </w:p>
    <w:p>
      <w:pPr>
        <w:pStyle w:val="ListBullet"/>
        <w:spacing w:after="40"/>
        <w:ind w:left="259"/>
      </w:pPr>
      <w:r>
        <w:rPr>
          <w:rFonts w:ascii="Aptos" w:hAnsi="Aptos"/>
          <w:b w:val="0"/>
          <w:color w:val="1A1033"/>
          <w:sz w:val="18"/>
        </w:rPr>
        <w:t>Synthetic merchant data exists solely because public aggregate data cannot demonstrate merchant-level SQL funnel/cohort analysis.</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shd w:fill="5F259F"/>
            <w:tcMar>
              <w:top w:w="70" w:type="dxa"/>
              <w:start w:w="60" w:type="dxa"/>
              <w:bottom w:w="70" w:type="dxa"/>
              <w:end w:w="60" w:type="dxa"/>
            </w:tcMar>
          </w:tcPr>
          <w:p>
            <w:r>
              <w:rPr>
                <w:rFonts w:ascii="Aptos" w:hAnsi="Aptos"/>
                <w:b/>
                <w:color w:val="FFFFFF"/>
                <w:sz w:val="12"/>
              </w:rPr>
              <w:t>#</w:t>
            </w:r>
          </w:p>
        </w:tc>
        <w:tc>
          <w:tcPr>
            <w:tcW w:type="dxa" w:w="2613"/>
            <w:shd w:fill="5F259F"/>
            <w:tcMar>
              <w:top w:w="70" w:type="dxa"/>
              <w:start w:w="60" w:type="dxa"/>
              <w:bottom w:w="70" w:type="dxa"/>
              <w:end w:w="60" w:type="dxa"/>
            </w:tcMar>
          </w:tcPr>
          <w:p>
            <w:r>
              <w:rPr>
                <w:rFonts w:ascii="Aptos" w:hAnsi="Aptos"/>
                <w:b/>
                <w:color w:val="FFFFFF"/>
                <w:sz w:val="12"/>
              </w:rPr>
              <w:t>Source</w:t>
            </w:r>
          </w:p>
        </w:tc>
        <w:tc>
          <w:tcPr>
            <w:tcW w:type="dxa" w:w="2613"/>
            <w:shd w:fill="5F259F"/>
            <w:tcMar>
              <w:top w:w="70" w:type="dxa"/>
              <w:start w:w="60" w:type="dxa"/>
              <w:bottom w:w="70" w:type="dxa"/>
              <w:end w:w="60" w:type="dxa"/>
            </w:tcMar>
          </w:tcPr>
          <w:p>
            <w:r>
              <w:rPr>
                <w:rFonts w:ascii="Aptos" w:hAnsi="Aptos"/>
                <w:b/>
                <w:color w:val="FFFFFF"/>
                <w:sz w:val="12"/>
              </w:rPr>
              <w:t>Date</w:t>
            </w:r>
          </w:p>
        </w:tc>
        <w:tc>
          <w:tcPr>
            <w:tcW w:type="dxa" w:w="2613"/>
            <w:shd w:fill="5F259F"/>
            <w:tcMar>
              <w:top w:w="70" w:type="dxa"/>
              <w:start w:w="60" w:type="dxa"/>
              <w:bottom w:w="70" w:type="dxa"/>
              <w:end w:w="60" w:type="dxa"/>
            </w:tcMar>
          </w:tcPr>
          <w:p>
            <w:r>
              <w:rPr>
                <w:rFonts w:ascii="Aptos" w:hAnsi="Aptos"/>
                <w:b/>
                <w:color w:val="FFFFFF"/>
                <w:sz w:val="12"/>
              </w:rPr>
              <w:t>URL</w:t>
            </w:r>
          </w:p>
        </w:tc>
      </w:tr>
      <w:tr>
        <w:tc>
          <w:tcPr>
            <w:tcW w:type="dxa" w:w="2613"/>
            <w:tcMar>
              <w:top w:w="60" w:type="dxa"/>
              <w:start w:w="55" w:type="dxa"/>
              <w:bottom w:w="60" w:type="dxa"/>
              <w:end w:w="55" w:type="dxa"/>
            </w:tcMar>
          </w:tcPr>
          <w:p>
            <w:r>
              <w:rPr>
                <w:rFonts w:ascii="Aptos" w:hAnsi="Aptos"/>
                <w:b w:val="0"/>
                <w:color w:val="1A1033"/>
                <w:sz w:val="12"/>
              </w:rPr>
              <w:t>1</w:t>
            </w:r>
          </w:p>
        </w:tc>
        <w:tc>
          <w:tcPr>
            <w:tcW w:type="dxa" w:w="2613"/>
            <w:tcMar>
              <w:top w:w="60" w:type="dxa"/>
              <w:start w:w="55" w:type="dxa"/>
              <w:bottom w:w="60" w:type="dxa"/>
              <w:end w:w="55" w:type="dxa"/>
            </w:tcMar>
          </w:tcPr>
          <w:p>
            <w:r>
              <w:rPr>
                <w:rFonts w:ascii="Aptos" w:hAnsi="Aptos"/>
                <w:b w:val="0"/>
                <w:color w:val="1A1033"/>
                <w:sz w:val="12"/>
              </w:rPr>
              <w:t>PhonePe Updated Draft Red Herring Prospectus-I</w:t>
            </w:r>
          </w:p>
        </w:tc>
        <w:tc>
          <w:tcPr>
            <w:tcW w:type="dxa" w:w="2613"/>
            <w:tcMar>
              <w:top w:w="60" w:type="dxa"/>
              <w:start w:w="55" w:type="dxa"/>
              <w:bottom w:w="60" w:type="dxa"/>
              <w:end w:w="55" w:type="dxa"/>
            </w:tcMar>
          </w:tcPr>
          <w:p>
            <w:r>
              <w:rPr>
                <w:rFonts w:ascii="Aptos" w:hAnsi="Aptos"/>
                <w:b w:val="0"/>
                <w:color w:val="1A1033"/>
                <w:sz w:val="12"/>
              </w:rPr>
              <w:t>2026-01-23</w:t>
            </w:r>
          </w:p>
        </w:tc>
        <w:tc>
          <w:tcPr>
            <w:tcW w:type="dxa" w:w="2613"/>
            <w:tcMar>
              <w:top w:w="60" w:type="dxa"/>
              <w:start w:w="55" w:type="dxa"/>
              <w:bottom w:w="60" w:type="dxa"/>
              <w:end w:w="55" w:type="dxa"/>
            </w:tcMar>
          </w:tcPr>
          <w:p>
            <w:r>
              <w:rPr>
                <w:rFonts w:ascii="Aptos" w:hAnsi="Aptos"/>
                <w:b w:val="0"/>
                <w:color w:val="1A1033"/>
                <w:sz w:val="12"/>
              </w:rPr>
              <w:t>https://www.phonepe.com/apollo/investor-relations/phonepe-limited-updated-draft-red-herring-prospectus-1.pdf</w:t>
            </w:r>
          </w:p>
        </w:tc>
      </w:tr>
      <w:tr>
        <w:tc>
          <w:tcPr>
            <w:tcW w:type="dxa" w:w="2613"/>
            <w:tcMar>
              <w:top w:w="60" w:type="dxa"/>
              <w:start w:w="55" w:type="dxa"/>
              <w:bottom w:w="60" w:type="dxa"/>
              <w:end w:w="55" w:type="dxa"/>
            </w:tcMar>
            <w:shd w:fill="F8F5FB"/>
          </w:tcPr>
          <w:p>
            <w:r>
              <w:rPr>
                <w:rFonts w:ascii="Aptos" w:hAnsi="Aptos"/>
                <w:b w:val="0"/>
                <w:color w:val="1A1033"/>
                <w:sz w:val="12"/>
              </w:rPr>
              <w:t>2</w:t>
            </w:r>
          </w:p>
        </w:tc>
        <w:tc>
          <w:tcPr>
            <w:tcW w:type="dxa" w:w="2613"/>
            <w:tcMar>
              <w:top w:w="60" w:type="dxa"/>
              <w:start w:w="55" w:type="dxa"/>
              <w:bottom w:w="60" w:type="dxa"/>
              <w:end w:w="55" w:type="dxa"/>
            </w:tcMar>
            <w:shd w:fill="F8F5FB"/>
          </w:tcPr>
          <w:p>
            <w:r>
              <w:rPr>
                <w:rFonts w:ascii="Aptos" w:hAnsi="Aptos"/>
                <w:b w:val="0"/>
                <w:color w:val="1A1033"/>
                <w:sz w:val="12"/>
              </w:rPr>
              <w:t>PhonePe Pulse</w:t>
            </w:r>
          </w:p>
        </w:tc>
        <w:tc>
          <w:tcPr>
            <w:tcW w:type="dxa" w:w="2613"/>
            <w:tcMar>
              <w:top w:w="60" w:type="dxa"/>
              <w:start w:w="55" w:type="dxa"/>
              <w:bottom w:w="60" w:type="dxa"/>
              <w:end w:w="55" w:type="dxa"/>
            </w:tcMar>
            <w:shd w:fill="F8F5FB"/>
          </w:tcPr>
          <w:p>
            <w:r>
              <w:rPr>
                <w:rFonts w:ascii="Aptos" w:hAnsi="Aptos"/>
                <w:b w:val="0"/>
                <w:color w:val="1A1033"/>
                <w:sz w:val="12"/>
              </w:rPr>
              <w:t>Q2 2026</w:t>
            </w:r>
          </w:p>
        </w:tc>
        <w:tc>
          <w:tcPr>
            <w:tcW w:type="dxa" w:w="2613"/>
            <w:tcMar>
              <w:top w:w="60" w:type="dxa"/>
              <w:start w:w="55" w:type="dxa"/>
              <w:bottom w:w="60" w:type="dxa"/>
              <w:end w:w="55" w:type="dxa"/>
            </w:tcMar>
            <w:shd w:fill="F8F5FB"/>
          </w:tcPr>
          <w:p>
            <w:r>
              <w:rPr>
                <w:rFonts w:ascii="Aptos" w:hAnsi="Aptos"/>
                <w:b w:val="0"/>
                <w:color w:val="1A1033"/>
                <w:sz w:val="12"/>
              </w:rPr>
              <w:t>https://www.phonepe.com/pulse/</w:t>
            </w:r>
          </w:p>
        </w:tc>
      </w:tr>
      <w:tr>
        <w:tc>
          <w:tcPr>
            <w:tcW w:type="dxa" w:w="2613"/>
            <w:tcMar>
              <w:top w:w="60" w:type="dxa"/>
              <w:start w:w="55" w:type="dxa"/>
              <w:bottom w:w="60" w:type="dxa"/>
              <w:end w:w="55" w:type="dxa"/>
            </w:tcMar>
          </w:tcPr>
          <w:p>
            <w:r>
              <w:rPr>
                <w:rFonts w:ascii="Aptos" w:hAnsi="Aptos"/>
                <w:b w:val="0"/>
                <w:color w:val="1A1033"/>
                <w:sz w:val="12"/>
              </w:rPr>
              <w:t>3</w:t>
            </w:r>
          </w:p>
        </w:tc>
        <w:tc>
          <w:tcPr>
            <w:tcW w:type="dxa" w:w="2613"/>
            <w:tcMar>
              <w:top w:w="60" w:type="dxa"/>
              <w:start w:w="55" w:type="dxa"/>
              <w:bottom w:w="60" w:type="dxa"/>
              <w:end w:w="55" w:type="dxa"/>
            </w:tcMar>
          </w:tcPr>
          <w:p>
            <w:r>
              <w:rPr>
                <w:rFonts w:ascii="Aptos" w:hAnsi="Aptos"/>
                <w:b w:val="0"/>
                <w:color w:val="1A1033"/>
                <w:sz w:val="12"/>
              </w:rPr>
              <w:t>PhonePe Pulse open dataset</w:t>
            </w:r>
          </w:p>
        </w:tc>
        <w:tc>
          <w:tcPr>
            <w:tcW w:type="dxa" w:w="2613"/>
            <w:tcMar>
              <w:top w:w="60" w:type="dxa"/>
              <w:start w:w="55" w:type="dxa"/>
              <w:bottom w:w="60" w:type="dxa"/>
              <w:end w:w="55" w:type="dxa"/>
            </w:tcMar>
          </w:tcPr>
          <w:p>
            <w:r>
              <w:rPr>
                <w:rFonts w:ascii="Aptos" w:hAnsi="Aptos"/>
                <w:b w:val="0"/>
                <w:color w:val="1A1033"/>
                <w:sz w:val="12"/>
              </w:rPr>
              <w:t>updated through Q2 2026</w:t>
            </w:r>
          </w:p>
        </w:tc>
        <w:tc>
          <w:tcPr>
            <w:tcW w:type="dxa" w:w="2613"/>
            <w:tcMar>
              <w:top w:w="60" w:type="dxa"/>
              <w:start w:w="55" w:type="dxa"/>
              <w:bottom w:w="60" w:type="dxa"/>
              <w:end w:w="55" w:type="dxa"/>
            </w:tcMar>
          </w:tcPr>
          <w:p>
            <w:r>
              <w:rPr>
                <w:rFonts w:ascii="Aptos" w:hAnsi="Aptos"/>
                <w:b w:val="0"/>
                <w:color w:val="1A1033"/>
                <w:sz w:val="12"/>
              </w:rPr>
              <w:t>https://github.com/PhonePe/pulse</w:t>
            </w:r>
          </w:p>
        </w:tc>
      </w:tr>
      <w:tr>
        <w:tc>
          <w:tcPr>
            <w:tcW w:type="dxa" w:w="2613"/>
            <w:tcMar>
              <w:top w:w="60" w:type="dxa"/>
              <w:start w:w="55" w:type="dxa"/>
              <w:bottom w:w="60" w:type="dxa"/>
              <w:end w:w="55" w:type="dxa"/>
            </w:tcMar>
            <w:shd w:fill="F8F5FB"/>
          </w:tcPr>
          <w:p>
            <w:r>
              <w:rPr>
                <w:rFonts w:ascii="Aptos" w:hAnsi="Aptos"/>
                <w:b w:val="0"/>
                <w:color w:val="1A1033"/>
                <w:sz w:val="12"/>
              </w:rPr>
              <w:t>4</w:t>
            </w:r>
          </w:p>
        </w:tc>
        <w:tc>
          <w:tcPr>
            <w:tcW w:type="dxa" w:w="2613"/>
            <w:tcMar>
              <w:top w:w="60" w:type="dxa"/>
              <w:start w:w="55" w:type="dxa"/>
              <w:bottom w:w="60" w:type="dxa"/>
              <w:end w:w="55" w:type="dxa"/>
            </w:tcMar>
            <w:shd w:fill="F8F5FB"/>
          </w:tcPr>
          <w:p>
            <w:r>
              <w:rPr>
                <w:rFonts w:ascii="Aptos" w:hAnsi="Aptos"/>
                <w:b w:val="0"/>
                <w:color w:val="1A1033"/>
                <w:sz w:val="12"/>
              </w:rPr>
              <w:t>PhonePe Pulse Metric Definitions</w:t>
            </w:r>
          </w:p>
        </w:tc>
        <w:tc>
          <w:tcPr>
            <w:tcW w:type="dxa" w:w="2613"/>
            <w:tcMar>
              <w:top w:w="60" w:type="dxa"/>
              <w:start w:w="55" w:type="dxa"/>
              <w:bottom w:w="60" w:type="dxa"/>
              <w:end w:w="55" w:type="dxa"/>
            </w:tcMar>
            <w:shd w:fill="F8F5FB"/>
          </w:tcPr>
          <w:p>
            <w:r>
              <w:rPr>
                <w:rFonts w:ascii="Aptos" w:hAnsi="Aptos"/>
                <w:b w:val="0"/>
                <w:color w:val="1A1033"/>
                <w:sz w:val="12"/>
              </w:rPr>
              <w:t>2026</w:t>
            </w:r>
          </w:p>
        </w:tc>
        <w:tc>
          <w:tcPr>
            <w:tcW w:type="dxa" w:w="2613"/>
            <w:tcMar>
              <w:top w:w="60" w:type="dxa"/>
              <w:start w:w="55" w:type="dxa"/>
              <w:bottom w:w="60" w:type="dxa"/>
              <w:end w:w="55" w:type="dxa"/>
            </w:tcMar>
            <w:shd w:fill="F8F5FB"/>
          </w:tcPr>
          <w:p>
            <w:r>
              <w:rPr>
                <w:rFonts w:ascii="Aptos" w:hAnsi="Aptos"/>
                <w:b w:val="0"/>
                <w:color w:val="1A1033"/>
                <w:sz w:val="12"/>
              </w:rPr>
              <w:t>https://www.phonepe.com/pulse/metric-definitions/</w:t>
            </w:r>
          </w:p>
        </w:tc>
      </w:tr>
      <w:tr>
        <w:tc>
          <w:tcPr>
            <w:tcW w:type="dxa" w:w="2613"/>
            <w:tcMar>
              <w:top w:w="60" w:type="dxa"/>
              <w:start w:w="55" w:type="dxa"/>
              <w:bottom w:w="60" w:type="dxa"/>
              <w:end w:w="55" w:type="dxa"/>
            </w:tcMar>
          </w:tcPr>
          <w:p>
            <w:r>
              <w:rPr>
                <w:rFonts w:ascii="Aptos" w:hAnsi="Aptos"/>
                <w:b w:val="0"/>
                <w:color w:val="1A1033"/>
                <w:sz w:val="12"/>
              </w:rPr>
              <w:t>5</w:t>
            </w:r>
          </w:p>
        </w:tc>
        <w:tc>
          <w:tcPr>
            <w:tcW w:type="dxa" w:w="2613"/>
            <w:tcMar>
              <w:top w:w="60" w:type="dxa"/>
              <w:start w:w="55" w:type="dxa"/>
              <w:bottom w:w="60" w:type="dxa"/>
              <w:end w:w="55" w:type="dxa"/>
            </w:tcMar>
          </w:tcPr>
          <w:p>
            <w:r>
              <w:rPr>
                <w:rFonts w:ascii="Aptos" w:hAnsi="Aptos"/>
                <w:b w:val="0"/>
                <w:color w:val="1A1033"/>
                <w:sz w:val="12"/>
              </w:rPr>
              <w:t>PhonePe - In the Press / By the Numbers</w:t>
            </w:r>
          </w:p>
        </w:tc>
        <w:tc>
          <w:tcPr>
            <w:tcW w:type="dxa" w:w="2613"/>
            <w:tcMar>
              <w:top w:w="60" w:type="dxa"/>
              <w:start w:w="55" w:type="dxa"/>
              <w:bottom w:w="60" w:type="dxa"/>
              <w:end w:w="55" w:type="dxa"/>
            </w:tcMar>
          </w:tcPr>
          <w:p>
            <w:r>
              <w:rPr>
                <w:rFonts w:ascii="Aptos" w:hAnsi="Aptos"/>
                <w:b w:val="0"/>
                <w:color w:val="1A1033"/>
                <w:sz w:val="12"/>
              </w:rPr>
              <w:t>2026-07</w:t>
            </w:r>
          </w:p>
        </w:tc>
        <w:tc>
          <w:tcPr>
            <w:tcW w:type="dxa" w:w="2613"/>
            <w:tcMar>
              <w:top w:w="60" w:type="dxa"/>
              <w:start w:w="55" w:type="dxa"/>
              <w:bottom w:w="60" w:type="dxa"/>
              <w:end w:w="55" w:type="dxa"/>
            </w:tcMar>
          </w:tcPr>
          <w:p>
            <w:r>
              <w:rPr>
                <w:rFonts w:ascii="Aptos" w:hAnsi="Aptos"/>
                <w:b w:val="0"/>
                <w:color w:val="1A1033"/>
                <w:sz w:val="12"/>
              </w:rPr>
              <w:t>https://www.phonepe.com/press/</w:t>
            </w:r>
          </w:p>
        </w:tc>
      </w:tr>
      <w:tr>
        <w:tc>
          <w:tcPr>
            <w:tcW w:type="dxa" w:w="2613"/>
            <w:tcMar>
              <w:top w:w="60" w:type="dxa"/>
              <w:start w:w="55" w:type="dxa"/>
              <w:bottom w:w="60" w:type="dxa"/>
              <w:end w:w="55" w:type="dxa"/>
            </w:tcMar>
            <w:shd w:fill="F8F5FB"/>
          </w:tcPr>
          <w:p>
            <w:r>
              <w:rPr>
                <w:rFonts w:ascii="Aptos" w:hAnsi="Aptos"/>
                <w:b w:val="0"/>
                <w:color w:val="1A1033"/>
                <w:sz w:val="12"/>
              </w:rPr>
              <w:t>6</w:t>
            </w:r>
          </w:p>
        </w:tc>
        <w:tc>
          <w:tcPr>
            <w:tcW w:type="dxa" w:w="2613"/>
            <w:tcMar>
              <w:top w:w="60" w:type="dxa"/>
              <w:start w:w="55" w:type="dxa"/>
              <w:bottom w:w="60" w:type="dxa"/>
              <w:end w:w="55" w:type="dxa"/>
            </w:tcMar>
            <w:shd w:fill="F8F5FB"/>
          </w:tcPr>
          <w:p>
            <w:r>
              <w:rPr>
                <w:rFonts w:ascii="Aptos" w:hAnsi="Aptos"/>
                <w:b w:val="0"/>
                <w:color w:val="1A1033"/>
                <w:sz w:val="12"/>
              </w:rPr>
              <w:t>UPI Product Statistics</w:t>
            </w:r>
          </w:p>
        </w:tc>
        <w:tc>
          <w:tcPr>
            <w:tcW w:type="dxa" w:w="2613"/>
            <w:tcMar>
              <w:top w:w="60" w:type="dxa"/>
              <w:start w:w="55" w:type="dxa"/>
              <w:bottom w:w="60" w:type="dxa"/>
              <w:end w:w="55" w:type="dxa"/>
            </w:tcMar>
            <w:shd w:fill="F8F5FB"/>
          </w:tcPr>
          <w:p>
            <w:r>
              <w:rPr>
                <w:rFonts w:ascii="Aptos" w:hAnsi="Aptos"/>
                <w:b w:val="0"/>
                <w:color w:val="1A1033"/>
                <w:sz w:val="12"/>
              </w:rPr>
              <w:t>2026</w:t>
            </w:r>
          </w:p>
        </w:tc>
        <w:tc>
          <w:tcPr>
            <w:tcW w:type="dxa" w:w="2613"/>
            <w:tcMar>
              <w:top w:w="60" w:type="dxa"/>
              <w:start w:w="55" w:type="dxa"/>
              <w:bottom w:w="60" w:type="dxa"/>
              <w:end w:w="55" w:type="dxa"/>
            </w:tcMar>
            <w:shd w:fill="F8F5FB"/>
          </w:tcPr>
          <w:p>
            <w:r>
              <w:rPr>
                <w:rFonts w:ascii="Aptos" w:hAnsi="Aptos"/>
                <w:b w:val="0"/>
                <w:color w:val="1A1033"/>
                <w:sz w:val="12"/>
              </w:rPr>
              <w:t>https://www.npci.org.in/product/upi/product-statistics</w:t>
            </w:r>
          </w:p>
        </w:tc>
      </w:tr>
      <w:tr>
        <w:tc>
          <w:tcPr>
            <w:tcW w:type="dxa" w:w="2613"/>
            <w:tcMar>
              <w:top w:w="60" w:type="dxa"/>
              <w:start w:w="55" w:type="dxa"/>
              <w:bottom w:w="60" w:type="dxa"/>
              <w:end w:w="55" w:type="dxa"/>
            </w:tcMar>
          </w:tcPr>
          <w:p>
            <w:r>
              <w:rPr>
                <w:rFonts w:ascii="Aptos" w:hAnsi="Aptos"/>
                <w:b w:val="0"/>
                <w:color w:val="1A1033"/>
                <w:sz w:val="12"/>
              </w:rPr>
              <w:t>7</w:t>
            </w:r>
          </w:p>
        </w:tc>
        <w:tc>
          <w:tcPr>
            <w:tcW w:type="dxa" w:w="2613"/>
            <w:tcMar>
              <w:top w:w="60" w:type="dxa"/>
              <w:start w:w="55" w:type="dxa"/>
              <w:bottom w:w="60" w:type="dxa"/>
              <w:end w:w="55" w:type="dxa"/>
            </w:tcMar>
          </w:tcPr>
          <w:p>
            <w:r>
              <w:rPr>
                <w:rFonts w:ascii="Aptos" w:hAnsi="Aptos"/>
                <w:b w:val="0"/>
                <w:color w:val="1A1033"/>
                <w:sz w:val="12"/>
              </w:rPr>
              <w:t>India preparing rollout of agentic payments on UPI</w:t>
            </w:r>
          </w:p>
        </w:tc>
        <w:tc>
          <w:tcPr>
            <w:tcW w:type="dxa" w:w="2613"/>
            <w:tcMar>
              <w:top w:w="60" w:type="dxa"/>
              <w:start w:w="55" w:type="dxa"/>
              <w:bottom w:w="60" w:type="dxa"/>
              <w:end w:w="55" w:type="dxa"/>
            </w:tcMar>
          </w:tcPr>
          <w:p>
            <w:r>
              <w:rPr>
                <w:rFonts w:ascii="Aptos" w:hAnsi="Aptos"/>
                <w:b w:val="0"/>
                <w:color w:val="1A1033"/>
                <w:sz w:val="12"/>
              </w:rPr>
              <w:t>2026-09-01</w:t>
            </w:r>
          </w:p>
        </w:tc>
        <w:tc>
          <w:tcPr>
            <w:tcW w:type="dxa" w:w="2613"/>
            <w:tcMar>
              <w:top w:w="60" w:type="dxa"/>
              <w:start w:w="55" w:type="dxa"/>
              <w:bottom w:w="60" w:type="dxa"/>
              <w:end w:w="55" w:type="dxa"/>
            </w:tcMar>
          </w:tcPr>
          <w:p>
            <w:r>
              <w:rPr>
                <w:rFonts w:ascii="Aptos" w:hAnsi="Aptos"/>
                <w:b w:val="0"/>
                <w:color w:val="1A1033"/>
                <w:sz w:val="12"/>
              </w:rPr>
              <w:t>https://www.reuters.com/world/india/india-preparing-rollout-agentic-payments-upi-sources-say-2026-09-01/</w:t>
            </w:r>
          </w:p>
        </w:tc>
      </w:tr>
      <w:tr>
        <w:tc>
          <w:tcPr>
            <w:tcW w:type="dxa" w:w="2613"/>
            <w:tcMar>
              <w:top w:w="60" w:type="dxa"/>
              <w:start w:w="55" w:type="dxa"/>
              <w:bottom w:w="60" w:type="dxa"/>
              <w:end w:w="55" w:type="dxa"/>
            </w:tcMar>
            <w:shd w:fill="F8F5FB"/>
          </w:tcPr>
          <w:p>
            <w:r>
              <w:rPr>
                <w:rFonts w:ascii="Aptos" w:hAnsi="Aptos"/>
                <w:b w:val="0"/>
                <w:color w:val="1A1033"/>
                <w:sz w:val="12"/>
              </w:rPr>
              <w:t>8</w:t>
            </w:r>
          </w:p>
        </w:tc>
        <w:tc>
          <w:tcPr>
            <w:tcW w:type="dxa" w:w="2613"/>
            <w:tcMar>
              <w:top w:w="60" w:type="dxa"/>
              <w:start w:w="55" w:type="dxa"/>
              <w:bottom w:w="60" w:type="dxa"/>
              <w:end w:w="55" w:type="dxa"/>
            </w:tcMar>
            <w:shd w:fill="F8F5FB"/>
          </w:tcPr>
          <w:p>
            <w:r>
              <w:rPr>
                <w:rFonts w:ascii="Aptos" w:hAnsi="Aptos"/>
                <w:b w:val="0"/>
                <w:color w:val="1A1033"/>
                <w:sz w:val="12"/>
              </w:rPr>
              <w:t>PhonePe reaches 50M registered merchants</w:t>
            </w:r>
          </w:p>
        </w:tc>
        <w:tc>
          <w:tcPr>
            <w:tcW w:type="dxa" w:w="2613"/>
            <w:tcMar>
              <w:top w:w="60" w:type="dxa"/>
              <w:start w:w="55" w:type="dxa"/>
              <w:bottom w:w="60" w:type="dxa"/>
              <w:end w:w="55" w:type="dxa"/>
            </w:tcMar>
            <w:shd w:fill="F8F5FB"/>
          </w:tcPr>
          <w:p>
            <w:r>
              <w:rPr>
                <w:rFonts w:ascii="Aptos" w:hAnsi="Aptos"/>
                <w:b w:val="0"/>
                <w:color w:val="1A1033"/>
                <w:sz w:val="12"/>
              </w:rPr>
              <w:t>2026-04-28</w:t>
            </w:r>
          </w:p>
        </w:tc>
        <w:tc>
          <w:tcPr>
            <w:tcW w:type="dxa" w:w="2613"/>
            <w:tcMar>
              <w:top w:w="60" w:type="dxa"/>
              <w:start w:w="55" w:type="dxa"/>
              <w:bottom w:w="60" w:type="dxa"/>
              <w:end w:w="55" w:type="dxa"/>
            </w:tcMar>
            <w:shd w:fill="F8F5FB"/>
          </w:tcPr>
          <w:p>
            <w:r>
              <w:rPr>
                <w:rFonts w:ascii="Aptos" w:hAnsi="Aptos"/>
                <w:b w:val="0"/>
                <w:color w:val="1A1033"/>
                <w:sz w:val="12"/>
              </w:rPr>
              <w:t>https://www.phonepe.com/press/phonepe-reaches-50-million-registered-merchants-across-india/</w:t>
            </w:r>
          </w:p>
        </w:tc>
      </w:tr>
      <w:tr>
        <w:tc>
          <w:tcPr>
            <w:tcW w:type="dxa" w:w="2613"/>
            <w:tcMar>
              <w:top w:w="60" w:type="dxa"/>
              <w:start w:w="55" w:type="dxa"/>
              <w:bottom w:w="60" w:type="dxa"/>
              <w:end w:w="55" w:type="dxa"/>
            </w:tcMar>
          </w:tcPr>
          <w:p>
            <w:r>
              <w:rPr>
                <w:rFonts w:ascii="Aptos" w:hAnsi="Aptos"/>
                <w:b w:val="0"/>
                <w:color w:val="1A1033"/>
                <w:sz w:val="12"/>
              </w:rPr>
              <w:t>9</w:t>
            </w:r>
          </w:p>
        </w:tc>
        <w:tc>
          <w:tcPr>
            <w:tcW w:type="dxa" w:w="2613"/>
            <w:tcMar>
              <w:top w:w="60" w:type="dxa"/>
              <w:start w:w="55" w:type="dxa"/>
              <w:bottom w:w="60" w:type="dxa"/>
              <w:end w:w="55" w:type="dxa"/>
            </w:tcMar>
          </w:tcPr>
          <w:p>
            <w:r>
              <w:rPr>
                <w:rFonts w:ascii="Aptos" w:hAnsi="Aptos"/>
                <w:b w:val="0"/>
                <w:color w:val="1A1033"/>
                <w:sz w:val="12"/>
              </w:rPr>
              <w:t>PhonePe crosses 700M registered users</w:t>
            </w:r>
          </w:p>
        </w:tc>
        <w:tc>
          <w:tcPr>
            <w:tcW w:type="dxa" w:w="2613"/>
            <w:tcMar>
              <w:top w:w="60" w:type="dxa"/>
              <w:start w:w="55" w:type="dxa"/>
              <w:bottom w:w="60" w:type="dxa"/>
              <w:end w:w="55" w:type="dxa"/>
            </w:tcMar>
          </w:tcPr>
          <w:p>
            <w:r>
              <w:rPr>
                <w:rFonts w:ascii="Aptos" w:hAnsi="Aptos"/>
                <w:b w:val="0"/>
                <w:color w:val="1A1033"/>
                <w:sz w:val="12"/>
              </w:rPr>
              <w:t>2026-04-29</w:t>
            </w:r>
          </w:p>
        </w:tc>
        <w:tc>
          <w:tcPr>
            <w:tcW w:type="dxa" w:w="2613"/>
            <w:tcMar>
              <w:top w:w="60" w:type="dxa"/>
              <w:start w:w="55" w:type="dxa"/>
              <w:bottom w:w="60" w:type="dxa"/>
              <w:end w:w="55" w:type="dxa"/>
            </w:tcMar>
          </w:tcPr>
          <w:p>
            <w:r>
              <w:rPr>
                <w:rFonts w:ascii="Aptos" w:hAnsi="Aptos"/>
                <w:b w:val="0"/>
                <w:color w:val="1A1033"/>
                <w:sz w:val="12"/>
              </w:rPr>
              <w:t>https://www.phonepe.com/press/phonepe-surpasses-700-million-registered-users-accelerates-growth-momentum/</w:t>
            </w:r>
          </w:p>
        </w:tc>
      </w:tr>
      <w:tr>
        <w:tc>
          <w:tcPr>
            <w:tcW w:type="dxa" w:w="2613"/>
            <w:tcMar>
              <w:top w:w="60" w:type="dxa"/>
              <w:start w:w="55" w:type="dxa"/>
              <w:bottom w:w="60" w:type="dxa"/>
              <w:end w:w="55" w:type="dxa"/>
            </w:tcMar>
            <w:shd w:fill="F8F5FB"/>
          </w:tcPr>
          <w:p>
            <w:r>
              <w:rPr>
                <w:rFonts w:ascii="Aptos" w:hAnsi="Aptos"/>
                <w:b w:val="0"/>
                <w:color w:val="1A1033"/>
                <w:sz w:val="12"/>
              </w:rPr>
              <w:t>10</w:t>
            </w:r>
          </w:p>
        </w:tc>
        <w:tc>
          <w:tcPr>
            <w:tcW w:type="dxa" w:w="2613"/>
            <w:tcMar>
              <w:top w:w="60" w:type="dxa"/>
              <w:start w:w="55" w:type="dxa"/>
              <w:bottom w:w="60" w:type="dxa"/>
              <w:end w:w="55" w:type="dxa"/>
            </w:tcMar>
            <w:shd w:fill="F8F5FB"/>
          </w:tcPr>
          <w:p>
            <w:r>
              <w:rPr>
                <w:rFonts w:ascii="Aptos" w:hAnsi="Aptos"/>
                <w:b w:val="0"/>
                <w:color w:val="1A1033"/>
                <w:sz w:val="12"/>
              </w:rPr>
              <w:t>PhonePe UPI 123Pay launch</w:t>
            </w:r>
          </w:p>
        </w:tc>
        <w:tc>
          <w:tcPr>
            <w:tcW w:type="dxa" w:w="2613"/>
            <w:tcMar>
              <w:top w:w="60" w:type="dxa"/>
              <w:start w:w="55" w:type="dxa"/>
              <w:bottom w:w="60" w:type="dxa"/>
              <w:end w:w="55" w:type="dxa"/>
            </w:tcMar>
            <w:shd w:fill="F8F5FB"/>
          </w:tcPr>
          <w:p>
            <w:r>
              <w:rPr>
                <w:rFonts w:ascii="Aptos" w:hAnsi="Aptos"/>
                <w:b w:val="0"/>
                <w:color w:val="1A1033"/>
                <w:sz w:val="12"/>
              </w:rPr>
              <w:t>2026-08-31</w:t>
            </w:r>
          </w:p>
        </w:tc>
        <w:tc>
          <w:tcPr>
            <w:tcW w:type="dxa" w:w="2613"/>
            <w:tcMar>
              <w:top w:w="60" w:type="dxa"/>
              <w:start w:w="55" w:type="dxa"/>
              <w:bottom w:w="60" w:type="dxa"/>
              <w:end w:w="55" w:type="dxa"/>
            </w:tcMar>
            <w:shd w:fill="F8F5FB"/>
          </w:tcPr>
          <w:p>
            <w:r>
              <w:rPr>
                <w:rFonts w:ascii="Aptos" w:hAnsi="Aptos"/>
                <w:b w:val="0"/>
                <w:color w:val="1A1033"/>
                <w:sz w:val="12"/>
              </w:rPr>
              <w:t>https://www.phonepe.com/press/phonepe-launches-upi-payments-for-indias-feature-phone-users</w:t>
            </w:r>
          </w:p>
        </w:tc>
      </w:tr>
      <w:tr>
        <w:tc>
          <w:tcPr>
            <w:tcW w:type="dxa" w:w="2613"/>
            <w:tcMar>
              <w:top w:w="60" w:type="dxa"/>
              <w:start w:w="55" w:type="dxa"/>
              <w:bottom w:w="60" w:type="dxa"/>
              <w:end w:w="55" w:type="dxa"/>
            </w:tcMar>
          </w:tcPr>
          <w:p>
            <w:r>
              <w:rPr>
                <w:rFonts w:ascii="Aptos" w:hAnsi="Aptos"/>
                <w:b w:val="0"/>
                <w:color w:val="1A1033"/>
                <w:sz w:val="12"/>
              </w:rPr>
              <w:t>11</w:t>
            </w:r>
          </w:p>
        </w:tc>
        <w:tc>
          <w:tcPr>
            <w:tcW w:type="dxa" w:w="2613"/>
            <w:tcMar>
              <w:top w:w="60" w:type="dxa"/>
              <w:start w:w="55" w:type="dxa"/>
              <w:bottom w:w="60" w:type="dxa"/>
              <w:end w:w="55" w:type="dxa"/>
            </w:tcMar>
          </w:tcPr>
          <w:p>
            <w:r>
              <w:rPr>
                <w:rFonts w:ascii="Aptos" w:hAnsi="Aptos"/>
                <w:b w:val="0"/>
                <w:color w:val="1A1033"/>
                <w:sz w:val="12"/>
              </w:rPr>
              <w:t>PhonePe FY26 financials</w:t>
            </w:r>
          </w:p>
        </w:tc>
        <w:tc>
          <w:tcPr>
            <w:tcW w:type="dxa" w:w="2613"/>
            <w:tcMar>
              <w:top w:w="60" w:type="dxa"/>
              <w:start w:w="55" w:type="dxa"/>
              <w:bottom w:w="60" w:type="dxa"/>
              <w:end w:w="55" w:type="dxa"/>
            </w:tcMar>
          </w:tcPr>
          <w:p>
            <w:r>
              <w:rPr>
                <w:rFonts w:ascii="Aptos" w:hAnsi="Aptos"/>
                <w:b w:val="0"/>
                <w:color w:val="1A1033"/>
                <w:sz w:val="12"/>
              </w:rPr>
              <w:t>2026-07-25</w:t>
            </w:r>
          </w:p>
        </w:tc>
        <w:tc>
          <w:tcPr>
            <w:tcW w:type="dxa" w:w="2613"/>
            <w:tcMar>
              <w:top w:w="60" w:type="dxa"/>
              <w:start w:w="55" w:type="dxa"/>
              <w:bottom w:w="60" w:type="dxa"/>
              <w:end w:w="55" w:type="dxa"/>
            </w:tcMar>
          </w:tcPr>
          <w:p>
            <w:r>
              <w:rPr>
                <w:rFonts w:ascii="Aptos" w:hAnsi="Aptos"/>
                <w:b w:val="0"/>
                <w:color w:val="1A1033"/>
                <w:sz w:val="12"/>
              </w:rPr>
              <w:t>https://www.business-standard.com/companies/quarterly-results/phonepe-fy26-net-loss-widens-to-rs-2-792-cr-despite-11-5-pc-revenue-growth-126072501086_1.html</w:t>
            </w:r>
          </w:p>
        </w:tc>
      </w:tr>
      <w:tr>
        <w:tc>
          <w:tcPr>
            <w:tcW w:type="dxa" w:w="2613"/>
            <w:tcMar>
              <w:top w:w="60" w:type="dxa"/>
              <w:start w:w="55" w:type="dxa"/>
              <w:bottom w:w="60" w:type="dxa"/>
              <w:end w:w="55" w:type="dxa"/>
            </w:tcMar>
            <w:shd w:fill="F8F5FB"/>
          </w:tcPr>
          <w:p>
            <w:r>
              <w:rPr>
                <w:rFonts w:ascii="Aptos" w:hAnsi="Aptos"/>
                <w:b w:val="0"/>
                <w:color w:val="1A1033"/>
                <w:sz w:val="12"/>
              </w:rPr>
              <w:t>12</w:t>
            </w:r>
          </w:p>
        </w:tc>
        <w:tc>
          <w:tcPr>
            <w:tcW w:type="dxa" w:w="2613"/>
            <w:tcMar>
              <w:top w:w="60" w:type="dxa"/>
              <w:start w:w="55" w:type="dxa"/>
              <w:bottom w:w="60" w:type="dxa"/>
              <w:end w:w="55" w:type="dxa"/>
            </w:tcMar>
            <w:shd w:fill="F8F5FB"/>
          </w:tcPr>
          <w:p>
            <w:r>
              <w:rPr>
                <w:rFonts w:ascii="Aptos" w:hAnsi="Aptos"/>
                <w:b w:val="0"/>
                <w:color w:val="1A1033"/>
                <w:sz w:val="12"/>
              </w:rPr>
              <w:t>PhonePe PulsePro launch</w:t>
            </w:r>
          </w:p>
        </w:tc>
        <w:tc>
          <w:tcPr>
            <w:tcW w:type="dxa" w:w="2613"/>
            <w:tcMar>
              <w:top w:w="60" w:type="dxa"/>
              <w:start w:w="55" w:type="dxa"/>
              <w:bottom w:w="60" w:type="dxa"/>
              <w:end w:w="55" w:type="dxa"/>
            </w:tcMar>
            <w:shd w:fill="F8F5FB"/>
          </w:tcPr>
          <w:p>
            <w:r>
              <w:rPr>
                <w:rFonts w:ascii="Aptos" w:hAnsi="Aptos"/>
                <w:b w:val="0"/>
                <w:color w:val="1A1033"/>
                <w:sz w:val="12"/>
              </w:rPr>
              <w:t>2026-07-30</w:t>
            </w:r>
          </w:p>
        </w:tc>
        <w:tc>
          <w:tcPr>
            <w:tcW w:type="dxa" w:w="2613"/>
            <w:tcMar>
              <w:top w:w="60" w:type="dxa"/>
              <w:start w:w="55" w:type="dxa"/>
              <w:bottom w:w="60" w:type="dxa"/>
              <w:end w:w="55" w:type="dxa"/>
            </w:tcMar>
            <w:shd w:fill="F8F5FB"/>
          </w:tcPr>
          <w:p>
            <w:r>
              <w:rPr>
                <w:rFonts w:ascii="Aptos" w:hAnsi="Aptos"/>
                <w:b w:val="0"/>
                <w:color w:val="1A1033"/>
                <w:sz w:val="12"/>
              </w:rPr>
              <w:t>https://www.phonepe.com/press/phonepe-launches-pulsepro-actionable-data-intelligence-for-indian-businesses/</w:t>
            </w:r>
          </w:p>
        </w:tc>
      </w:tr>
    </w:tbl>
    <w:p>
      <w:pPr>
        <w:spacing w:after="40"/>
      </w:pPr>
    </w:p>
    <w:p>
      <w:pPr>
        <w:spacing w:after="80" w:line="259" w:lineRule="auto"/>
      </w:pPr>
      <w:r>
        <w:rPr>
          <w:rFonts w:ascii="Aptos" w:hAnsi="Aptos"/>
          <w:b w:val="0"/>
          <w:color w:val="1A1033"/>
          <w:sz w:val="14"/>
        </w:rPr>
        <w:t>Independent educational case study. Not affiliated with or endorsed by PhonePe. No confidential data used. Not investment advice.</w:t>
      </w:r>
    </w:p>
    <w:sectPr w:rsidR="00FC693F" w:rsidRPr="0006063C" w:rsidSect="00034616">
      <w:footerReference w:type="default" r:id="rId9"/>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5F6470"/>
        <w:sz w:val="13"/>
      </w:rPr>
      <w:t>PHONEPE PAYMENTS GROWTH OS  |  INDEPENDENT PRODUCT ANALYTICS CASE  |  SEP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5F259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5F259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5F259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