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t>Name: Dakshata Mhatre</w:t>
        <w:br/>
        <w:t>Roll No.: 24102B0018</w:t>
        <w:br/>
        <w:t>College: Vidyalankar Institute Of Technology</w:t>
        <w:br/>
        <w:t>Academic Year: 2026–27</w:t>
      </w:r>
    </w:p>
    <w:p>
      <w:r>
        <w:br w:type="page"/>
      </w:r>
    </w:p>
    <w:p>
      <w:pPr>
        <w:pStyle w:val="Heading1"/>
      </w:pPr>
      <w:r>
        <w:t>Contents</w:t>
      </w:r>
    </w:p>
    <w:p>
      <w:r>
        <w:t>1. Japan – Why Japan Recycles More Than Most Countries: Lessons for India</w:t>
      </w:r>
    </w:p>
    <w:p>
      <w:r>
        <w:t>2. Switzerland – Switzerland's E-Waste Success Story</w:t>
      </w:r>
    </w:p>
    <w:p>
      <w:r>
        <w:t>3. India – India's E-Waste Management Rules 2022</w:t>
      </w:r>
    </w:p>
    <w:p>
      <w:r>
        <w:t>4. India – India's Extended Producer Responsibility (EPR): Success or Paper Compliance?</w:t>
      </w:r>
    </w:p>
    <w:p>
      <w:r>
        <w:t>5. Bengaluru – India's E-Waste Capital?</w:t>
      </w:r>
    </w:p>
    <w:p>
      <w:r>
        <w:t>6. Mumbai – Mumbai's E-Waste Ecosystem</w:t>
      </w:r>
    </w:p>
    <w:p>
      <w:r>
        <w:t>7. Kerala – Kerala's Clean Kerala Company</w:t>
      </w:r>
    </w:p>
    <w:p>
      <w:r>
        <w:t>8. Pune – Pune's SWaCH Model</w:t>
      </w:r>
    </w:p>
    <w:p>
      <w:r>
        <w:t>9. Dharavi – Dharavi Recycling Ecosystem</w:t>
      </w:r>
    </w:p>
    <w:p>
      <w:r>
        <w:t>10. Dell – Dell's Circular Economy Strategy</w:t>
      </w:r>
    </w:p>
    <w:p>
      <w:r>
        <w:t>The faculty-provided case-study document lists these ten topics; this report expands them using current and primary/credible sources. fileciteturn10file0L2-L12</w:t>
      </w:r>
    </w:p>
    <w:p>
      <w:r>
        <w:br w:type="page"/>
      </w:r>
    </w:p>
    <w:p>
      <w:pPr>
        <w:pStyle w:val="Heading1"/>
      </w:pPr>
      <w:r>
        <w:t>1. Japan – Why Japan Recycles More Than Most Countries: Lessons for India</w:t>
      </w:r>
    </w:p>
    <w:p>
      <w:pPr>
        <w:pStyle w:val="Heading2"/>
      </w:pPr>
      <w:r>
        <w:t>1. Executive Summary</w:t>
      </w:r>
    </w:p>
    <w:p>
      <w:r>
        <w:t>Japan's Home Appliance Recycling Law creates a defined chain: consumers pay recycling/collection costs, retailers collect and transport, and manufacturers/importers recycle covered appliances.</w:t>
      </w:r>
    </w:p>
    <w:p>
      <w:pPr>
        <w:pStyle w:val="Heading2"/>
      </w:pPr>
      <w:r>
        <w:t>2. Background</w:t>
      </w:r>
    </w:p>
    <w:p>
      <w:r>
        <w:t>Japan's Home Appliance Recycling Law creates a defined chain: consumers pay recycling/collection costs, retailers collect and transport, and manufacturers/importers recycle covered appliances.</w:t>
      </w:r>
    </w:p>
    <w:p>
      <w:pPr>
        <w:pStyle w:val="Heading2"/>
      </w:pPr>
      <w:r>
        <w:t>3. Strategy / Initiative</w:t>
      </w:r>
    </w:p>
    <w:p>
      <w:r>
        <w:t>Retailer take-back + manufacturer recycling + consumer recycling fee + tracking</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Clear responsibility</w:t>
            </w:r>
          </w:p>
        </w:tc>
        <w:tc>
          <w:tcPr>
            <w:tcW w:type="dxa" w:w="5112"/>
            <w:vAlign w:val="center"/>
          </w:tcPr>
          <w:p>
            <w:r>
              <w:t>Consumer cost and category coverage</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Expand repair/reuse and take-back</w:t>
            </w:r>
          </w:p>
        </w:tc>
        <w:tc>
          <w:tcPr>
            <w:tcW w:type="dxa" w:w="5112"/>
            <w:vAlign w:val="center"/>
          </w:tcPr>
          <w:p>
            <w:r>
              <w:t>Illegal dumping/leakage</w:t>
            </w:r>
          </w:p>
        </w:tc>
      </w:tr>
    </w:tbl>
    <w:p/>
    <w:p>
      <w:pPr>
        <w:pStyle w:val="Heading2"/>
      </w:pPr>
      <w:r>
        <w:t>6. Comparison with India</w:t>
      </w:r>
    </w:p>
    <w:p>
      <w:r>
        <w:t>India's 2022 EPR system similarly assigns producer responsibility, but Japan's product-specific retailer take-back is a useful collection lesson.</w:t>
      </w:r>
    </w:p>
    <w:p>
      <w:pPr>
        <w:pStyle w:val="Heading2"/>
      </w:pPr>
      <w:r>
        <w:t>7. Recommendations</w:t>
      </w:r>
    </w:p>
    <w:p>
      <w:pPr>
        <w:pStyle w:val="ListBullet"/>
      </w:pPr>
      <w:r>
        <w:t>Expand retailer/e-commerce take-back; improve product traceability; prioritize repair before recycling; publish product-level recovery results.</w:t>
      </w:r>
    </w:p>
    <w:p>
      <w:pPr>
        <w:pStyle w:val="Heading2"/>
      </w:pPr>
      <w:r>
        <w:t>8. Conclusion</w:t>
      </w:r>
    </w:p>
    <w:p>
      <w:r>
        <w:t>a</w:t>
      </w:r>
    </w:p>
    <w:p>
      <w:pPr>
        <w:pStyle w:val="Heading2"/>
      </w:pPr>
      <w:r>
        <w:t>9. References</w:t>
      </w:r>
    </w:p>
    <w:p>
      <w:pPr>
        <w:pStyle w:val="ListNumber"/>
      </w:pPr>
      <w:r>
        <w:t>METI – Act on Recycling of Specified Home Appliances</w:t>
      </w:r>
    </w:p>
    <w:p>
      <w:pPr>
        <w:pStyle w:val="ListNumber"/>
      </w:pPr>
      <w:r>
        <w:t>Japan Ministry of Environment – FY2023 recycling results</w:t>
      </w:r>
    </w:p>
    <w:p>
      <w:pPr>
        <w:pStyle w:val="ListNumber"/>
      </w:pPr>
      <w:r>
        <w:t>e-Gov Japan – Small Used Electronic Equipment Recycling Act</w:t>
      </w:r>
    </w:p>
    <w:p>
      <w:r>
        <w:br w:type="page"/>
      </w:r>
    </w:p>
    <w:p>
      <w:pPr>
        <w:pStyle w:val="Heading1"/>
      </w:pPr>
      <w:r>
        <w:t>2. Switzerland – Switzerland's E-Waste Success Story</w:t>
      </w:r>
    </w:p>
    <w:p>
      <w:pPr>
        <w:pStyle w:val="Heading2"/>
      </w:pPr>
      <w:r>
        <w:t>1. Executive Summary</w:t>
      </w:r>
    </w:p>
    <w:p>
      <w:r>
        <w:t>Switzerland uses organized take-back systems, especially SENS eRecycling and Swico Recycling. An advance recycling contribution is included in the purchase price and finances collection, logistics and recycling.</w:t>
      </w:r>
    </w:p>
    <w:p>
      <w:pPr>
        <w:pStyle w:val="Heading2"/>
      </w:pPr>
      <w:r>
        <w:t>2. Background</w:t>
      </w:r>
    </w:p>
    <w:p>
      <w:r>
        <w:t>Switzerland uses organized take-back systems, especially SENS eRecycling and Swico Recycling. An advance recycling contribution is included in the purchase price and finances collection, logistics and recycling.</w:t>
      </w:r>
    </w:p>
    <w:p>
      <w:pPr>
        <w:pStyle w:val="Heading2"/>
      </w:pPr>
      <w:r>
        <w:t>3. Strategy / Initiative</w:t>
      </w:r>
    </w:p>
    <w:p>
      <w:r>
        <w:t>Convenient take-back + predictable financing + specialized recycling systems</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Convenience and stable financing</w:t>
            </w:r>
          </w:p>
        </w:tc>
        <w:tc>
          <w:tcPr>
            <w:tcW w:type="dxa" w:w="5112"/>
            <w:vAlign w:val="center"/>
          </w:tcPr>
          <w:p>
            <w:r>
              <w:t>System costs and coordination</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More repair/reuse</w:t>
            </w:r>
          </w:p>
        </w:tc>
        <w:tc>
          <w:tcPr>
            <w:tcW w:type="dxa" w:w="5112"/>
            <w:vAlign w:val="center"/>
          </w:tcPr>
          <w:p>
            <w:r>
              <w:t>Rising treatment costs/free-riding</w:t>
            </w:r>
          </w:p>
        </w:tc>
      </w:tr>
    </w:tbl>
    <w:p/>
    <w:p>
      <w:pPr>
        <w:pStyle w:val="Heading2"/>
      </w:pPr>
      <w:r>
        <w:t>6. Comparison with India</w:t>
      </w:r>
    </w:p>
    <w:p>
      <w:r>
        <w:t>India relies on producer EPR and digital EPR certificates; Switzerland provides a useful example of easy consumer access and advance financing.</w:t>
      </w:r>
    </w:p>
    <w:p>
      <w:pPr>
        <w:pStyle w:val="Heading2"/>
      </w:pPr>
      <w:r>
        <w:t>7. Recommendations</w:t>
      </w:r>
    </w:p>
    <w:p>
      <w:pPr>
        <w:pStyle w:val="ListBullet"/>
      </w:pPr>
      <w:r>
        <w:t>Increase collection points; strengthen producer-funded take-back; publish comparable collection indicators; integrate repair/refurbishment.</w:t>
      </w:r>
    </w:p>
    <w:p>
      <w:pPr>
        <w:pStyle w:val="Heading2"/>
      </w:pPr>
      <w:r>
        <w:t>8. Conclusion</w:t>
      </w:r>
    </w:p>
    <w:p>
      <w:r>
        <w:t>w</w:t>
      </w:r>
    </w:p>
    <w:p>
      <w:pPr>
        <w:pStyle w:val="Heading2"/>
      </w:pPr>
      <w:r>
        <w:t>9. References</w:t>
      </w:r>
    </w:p>
    <w:p>
      <w:pPr>
        <w:pStyle w:val="ListNumber"/>
      </w:pPr>
      <w:r>
        <w:t>SENS eRecycling – technical reports and facts</w:t>
      </w:r>
    </w:p>
    <w:p>
      <w:pPr>
        <w:pStyle w:val="ListNumber"/>
      </w:pPr>
      <w:r>
        <w:t>Swico Recycling – recycling system and ARC</w:t>
      </w:r>
    </w:p>
    <w:p>
      <w:r>
        <w:br w:type="page"/>
      </w:r>
    </w:p>
    <w:p>
      <w:pPr>
        <w:pStyle w:val="Heading1"/>
      </w:pPr>
      <w:r>
        <w:t>3. India – E-Waste Management Rules 2022</w:t>
      </w:r>
    </w:p>
    <w:p>
      <w:pPr>
        <w:pStyle w:val="Heading2"/>
      </w:pPr>
      <w:r>
        <w:t>1. Executive Summary</w:t>
      </w:r>
    </w:p>
    <w:p>
      <w:r>
        <w:t>The 2022 Rules created a centralized digital EPR framework administered through CPCB. Producers, manufacturers, recyclers and refurbishers register and report through the portal.</w:t>
      </w:r>
    </w:p>
    <w:p>
      <w:pPr>
        <w:pStyle w:val="Heading2"/>
      </w:pPr>
      <w:r>
        <w:t>2. Background</w:t>
      </w:r>
    </w:p>
    <w:p>
      <w:r>
        <w:t>The 2022 Rules created a centralized digital EPR framework administered through CPCB. Producers, manufacturers, recyclers and refurbishers register and report through the portal.</w:t>
      </w:r>
    </w:p>
    <w:p>
      <w:pPr>
        <w:pStyle w:val="Heading2"/>
      </w:pPr>
      <w:r>
        <w:t>3. Strategy / Initiative</w:t>
      </w:r>
    </w:p>
    <w:p>
      <w:r>
        <w:t>Digital registration + producer targets + certificate-based recycling + monitoring</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Centralized traceability</w:t>
            </w:r>
          </w:p>
        </w:tc>
        <w:tc>
          <w:tcPr>
            <w:tcW w:type="dxa" w:w="5112"/>
            <w:vAlign w:val="center"/>
          </w:tcPr>
          <w:p>
            <w:r>
              <w:t>Verification and enforcement burden</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Data analytics and circular economy</w:t>
            </w:r>
          </w:p>
        </w:tc>
        <w:tc>
          <w:tcPr>
            <w:tcW w:type="dxa" w:w="5112"/>
            <w:vAlign w:val="center"/>
          </w:tcPr>
          <w:p>
            <w:r>
              <w:t>False reporting/paper compliance</w:t>
            </w:r>
          </w:p>
        </w:tc>
      </w:tr>
    </w:tbl>
    <w:p/>
    <w:p>
      <w:pPr>
        <w:pStyle w:val="Heading2"/>
      </w:pPr>
      <w:r>
        <w:t>6. Comparison with India</w:t>
      </w:r>
    </w:p>
    <w:p>
      <w:r>
        <w:t>This is the national baseline against which the other Indian case studies should be understood.</w:t>
      </w:r>
    </w:p>
    <w:p>
      <w:pPr>
        <w:pStyle w:val="Heading2"/>
      </w:pPr>
      <w:r>
        <w:t>7. Recommendations</w:t>
      </w:r>
    </w:p>
    <w:p>
      <w:pPr>
        <w:pStyle w:val="ListBullet"/>
      </w:pPr>
      <w:r>
        <w:t>Strengthen physical verification; improve public collection access; integrate informal collectors safely; reconcile certificate data with material balances.</w:t>
      </w:r>
    </w:p>
    <w:p>
      <w:pPr>
        <w:pStyle w:val="Heading2"/>
      </w:pPr>
      <w:r>
        <w:t>8. Conclusion</w:t>
      </w:r>
    </w:p>
    <w:p>
      <w:r>
        <w:t>h</w:t>
      </w:r>
    </w:p>
    <w:p>
      <w:pPr>
        <w:pStyle w:val="Heading2"/>
      </w:pPr>
      <w:r>
        <w:t>9. References</w:t>
      </w:r>
    </w:p>
    <w:p>
      <w:pPr>
        <w:pStyle w:val="ListNumber"/>
      </w:pPr>
      <w:r>
        <w:t>MoEFCC – E-Waste (Management) Rules, 2022</w:t>
      </w:r>
    </w:p>
    <w:p>
      <w:pPr>
        <w:pStyle w:val="ListNumber"/>
      </w:pPr>
      <w:r>
        <w:t>CPCB – E-Waste Management System / EPR Portal</w:t>
      </w:r>
    </w:p>
    <w:p>
      <w:r>
        <w:br w:type="page"/>
      </w:r>
    </w:p>
    <w:p>
      <w:pPr>
        <w:pStyle w:val="Heading1"/>
      </w:pPr>
      <w:r>
        <w:t>4. India – EPR: Success or Paper Compliance?</w:t>
      </w:r>
    </w:p>
    <w:p>
      <w:pPr>
        <w:pStyle w:val="Heading2"/>
      </w:pPr>
      <w:r>
        <w:t>1. Executive Summary</w:t>
      </w:r>
    </w:p>
    <w:p>
      <w:r>
        <w:t>EPR can make producers responsible for end-of-life management. A Recykal case study found benefits from market expansion, economies of scale and reduced uncertainty, while newer analysis highlights risks of documentation-heavy compliance.</w:t>
      </w:r>
    </w:p>
    <w:p>
      <w:pPr>
        <w:pStyle w:val="Heading2"/>
      </w:pPr>
      <w:r>
        <w:t>2. Background</w:t>
      </w:r>
    </w:p>
    <w:p>
      <w:r>
        <w:t>EPR can make producers responsible for end-of-life management. A Recykal case study found benefits from market expansion, economies of scale and reduced uncertainty, while newer analysis highlights risks of documentation-heavy compliance.</w:t>
      </w:r>
    </w:p>
    <w:p>
      <w:pPr>
        <w:pStyle w:val="Heading2"/>
      </w:pPr>
      <w:r>
        <w:t>3. Strategy / Initiative</w:t>
      </w:r>
    </w:p>
    <w:p>
      <w:r>
        <w:t>Producer obligations + registered recyclers + EPR certificates + digital reporting</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Formal accountability</w:t>
            </w:r>
          </w:p>
        </w:tc>
        <w:tc>
          <w:tcPr>
            <w:tcW w:type="dxa" w:w="5112"/>
            <w:vAlign w:val="center"/>
          </w:tcPr>
          <w:p>
            <w:r>
              <w:t>Verification complexity</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Eco-design/repair</w:t>
            </w:r>
          </w:p>
        </w:tc>
        <w:tc>
          <w:tcPr>
            <w:tcW w:type="dxa" w:w="5112"/>
            <w:vAlign w:val="center"/>
          </w:tcPr>
          <w:p>
            <w:r>
              <w:t>Fraud and informal-sector exclusion</w:t>
            </w:r>
          </w:p>
        </w:tc>
      </w:tr>
    </w:tbl>
    <w:p/>
    <w:p>
      <w:pPr>
        <w:pStyle w:val="Heading2"/>
      </w:pPr>
      <w:r>
        <w:t>6. Comparison with India</w:t>
      </w:r>
    </w:p>
    <w:p>
      <w:r>
        <w:t>EPR is India's main producer-responsibility mechanism under the 2022 Rules; its success should be measured by physical outcomes as well as compliance records.</w:t>
      </w:r>
    </w:p>
    <w:p>
      <w:pPr>
        <w:pStyle w:val="Heading2"/>
      </w:pPr>
      <w:r>
        <w:t>7. Recommendations</w:t>
      </w:r>
    </w:p>
    <w:p>
      <w:pPr>
        <w:pStyle w:val="ListBullet"/>
      </w:pPr>
      <w:r>
        <w:t>Audit recycler inputs/outputs; use data analytics; integrate informal collectors; publish collection/recovery outcomes; encourage design for repair.</w:t>
      </w:r>
    </w:p>
    <w:p>
      <w:pPr>
        <w:pStyle w:val="Heading2"/>
      </w:pPr>
      <w:r>
        <w:t>8. Conclusion</w:t>
      </w:r>
    </w:p>
    <w:p>
      <w:r>
        <w:t>P</w:t>
      </w:r>
    </w:p>
    <w:p>
      <w:pPr>
        <w:pStyle w:val="Heading2"/>
      </w:pPr>
      <w:r>
        <w:t>9. References</w:t>
      </w:r>
    </w:p>
    <w:p>
      <w:pPr>
        <w:pStyle w:val="ListNumber"/>
      </w:pPr>
      <w:r>
        <w:t>Bhadra &amp; Mishra, Journal of Urban Management (2021)</w:t>
      </w:r>
    </w:p>
    <w:p>
      <w:pPr>
        <w:pStyle w:val="ListNumber"/>
      </w:pPr>
      <w:r>
        <w:t>CPCB EPR Portal</w:t>
      </w:r>
    </w:p>
    <w:p>
      <w:pPr>
        <w:pStyle w:val="ListNumber"/>
      </w:pPr>
      <w:r>
        <w:t>NITI Aayog, Advancing Circular Economy of E-waste and Lithium-Ion Batteries (2026)</w:t>
      </w:r>
    </w:p>
    <w:p>
      <w:r>
        <w:br w:type="page"/>
      </w:r>
    </w:p>
    <w:p>
      <w:pPr>
        <w:pStyle w:val="Heading1"/>
      </w:pPr>
      <w:r>
        <w:t>5. Bengaluru – India's E-Waste Capital?</w:t>
      </w:r>
    </w:p>
    <w:p>
      <w:pPr>
        <w:pStyle w:val="Heading2"/>
      </w:pPr>
      <w:r>
        <w:t>1. Executive Summary</w:t>
      </w:r>
    </w:p>
    <w:p>
      <w:r>
        <w:t>Bengaluru's IT and electronics economy makes it a major e-waste case. The city combines formal recyclers such as E-Parisaraa with extensive informal collection and processing.</w:t>
      </w:r>
    </w:p>
    <w:p>
      <w:pPr>
        <w:pStyle w:val="Heading2"/>
      </w:pPr>
      <w:r>
        <w:t>2. Background</w:t>
      </w:r>
    </w:p>
    <w:p>
      <w:r>
        <w:t>Bengaluru's IT and electronics economy makes it a major e-waste case. The city combines formal recyclers such as E-Parisaraa with extensive informal collection and processing.</w:t>
      </w:r>
    </w:p>
    <w:p>
      <w:pPr>
        <w:pStyle w:val="Heading2"/>
      </w:pPr>
      <w:r>
        <w:t>3. Strategy / Initiative</w:t>
      </w:r>
    </w:p>
    <w:p>
      <w:r>
        <w:t>Formal authorized recycling + household collection + awareness + informal-sector networks</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Strong IT ecosystem and collection reach</w:t>
            </w:r>
          </w:p>
        </w:tc>
        <w:tc>
          <w:tcPr>
            <w:tcW w:type="dxa" w:w="5112"/>
            <w:vAlign w:val="center"/>
          </w:tcPr>
          <w:p>
            <w:r>
              <w:t>Informal unsafe processing</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Formalization and producer take-back</w:t>
            </w:r>
          </w:p>
        </w:tc>
        <w:tc>
          <w:tcPr>
            <w:tcW w:type="dxa" w:w="5112"/>
            <w:vAlign w:val="center"/>
          </w:tcPr>
          <w:p>
            <w:r>
              <w:t>Rapid device turnover and exposure risks</w:t>
            </w:r>
          </w:p>
        </w:tc>
      </w:tr>
    </w:tbl>
    <w:p/>
    <w:p>
      <w:pPr>
        <w:pStyle w:val="Heading2"/>
      </w:pPr>
      <w:r>
        <w:t>6. Comparison with India</w:t>
      </w:r>
    </w:p>
    <w:p>
      <w:r>
        <w:t>Bengaluru illustrates the national challenge: informal collection remains important even as formal regulation expands.</w:t>
      </w:r>
    </w:p>
    <w:p>
      <w:pPr>
        <w:pStyle w:val="Heading2"/>
      </w:pPr>
      <w:r>
        <w:t>7. Recommendations</w:t>
      </w:r>
    </w:p>
    <w:p>
      <w:pPr>
        <w:pStyle w:val="ListBullet"/>
      </w:pPr>
      <w:r>
        <w:t>Neighborhood collection; safe informal-sector integration; producer take-back; city-level tracking from collection to recovery.</w:t>
      </w:r>
    </w:p>
    <w:p>
      <w:pPr>
        <w:pStyle w:val="Heading2"/>
      </w:pPr>
      <w:r>
        <w:t>8. Conclusion</w:t>
      </w:r>
    </w:p>
    <w:p>
      <w:r>
        <w:t>e</w:t>
      </w:r>
    </w:p>
    <w:p>
      <w:pPr>
        <w:pStyle w:val="Heading2"/>
      </w:pPr>
      <w:r>
        <w:t>9. References</w:t>
      </w:r>
    </w:p>
    <w:p>
      <w:pPr>
        <w:pStyle w:val="ListNumber"/>
      </w:pPr>
      <w:r>
        <w:t>Pradhan &amp; Sudhir – E-Waste Management: A Case Study of Bangalore</w:t>
      </w:r>
    </w:p>
    <w:p>
      <w:pPr>
        <w:pStyle w:val="ListNumber"/>
      </w:pPr>
      <w:r>
        <w:t>CSE/EMPRI – State of Environment Report Bangalore</w:t>
      </w:r>
    </w:p>
    <w:p>
      <w:pPr>
        <w:pStyle w:val="ListNumber"/>
      </w:pPr>
      <w:r>
        <w:t>Saahas – bE-Responsible</w:t>
      </w:r>
    </w:p>
    <w:p>
      <w:r>
        <w:br w:type="page"/>
      </w:r>
    </w:p>
    <w:p>
      <w:pPr>
        <w:pStyle w:val="Heading1"/>
      </w:pPr>
      <w:r>
        <w:t>6. Mumbai – Mumbai's E-Waste Ecosystem</w:t>
      </w:r>
    </w:p>
    <w:p>
      <w:pPr>
        <w:pStyle w:val="Heading2"/>
      </w:pPr>
      <w:r>
        <w:t>1. Executive Summary</w:t>
      </w:r>
    </w:p>
    <w:p>
      <w:r>
        <w:t>Mumbai combines large consumption, industry, port activity, informal collection and an expanding formal recycling network. MPCB regulates and lists authorized facilities.</w:t>
      </w:r>
    </w:p>
    <w:p>
      <w:pPr>
        <w:pStyle w:val="Heading2"/>
      </w:pPr>
      <w:r>
        <w:t>2. Background</w:t>
      </w:r>
    </w:p>
    <w:p>
      <w:r>
        <w:t>Mumbai combines large consumption, industry, port activity, informal collection and an expanding formal recycling network. MPCB regulates and lists authorized facilities.</w:t>
      </w:r>
    </w:p>
    <w:p>
      <w:pPr>
        <w:pStyle w:val="Heading2"/>
      </w:pPr>
      <w:r>
        <w:t>3. Strategy / Initiative</w:t>
      </w:r>
    </w:p>
    <w:p>
      <w:r>
        <w:t>Regulation + authorized recycling + metropolitan collection + infrastructure development</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Large market and recycling ecosystem</w:t>
            </w:r>
          </w:p>
        </w:tc>
        <w:tc>
          <w:tcPr>
            <w:tcW w:type="dxa" w:w="5112"/>
            <w:vAlign w:val="center"/>
          </w:tcPr>
          <w:p>
            <w:r>
              <w:t>Fragmented/informal flows</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Digital city dashboard</w:t>
            </w:r>
          </w:p>
        </w:tc>
        <w:tc>
          <w:tcPr>
            <w:tcW w:type="dxa" w:w="5112"/>
            <w:vAlign w:val="center"/>
          </w:tcPr>
          <w:p>
            <w:r>
              <w:t>High generation and unsafe handling</w:t>
            </w:r>
          </w:p>
        </w:tc>
      </w:tr>
    </w:tbl>
    <w:p/>
    <w:p>
      <w:pPr>
        <w:pStyle w:val="Heading2"/>
      </w:pPr>
      <w:r>
        <w:t>6. Comparison with India</w:t>
      </w:r>
    </w:p>
    <w:p>
      <w:r>
        <w:t>Mumbai is a useful metropolitan example of how national EPR rules interact with state regulation and informal recycling.</w:t>
      </w:r>
    </w:p>
    <w:p>
      <w:pPr>
        <w:pStyle w:val="Heading2"/>
      </w:pPr>
      <w:r>
        <w:t>7. Recommendations</w:t>
      </w:r>
    </w:p>
    <w:p>
      <w:pPr>
        <w:pStyle w:val="ListBullet"/>
      </w:pPr>
      <w:r>
        <w:t>Ward-level collection hubs; scheduled household pickup; data-security awareness; map informal collectors; public recycling dashboard.</w:t>
      </w:r>
    </w:p>
    <w:p>
      <w:pPr>
        <w:pStyle w:val="Heading2"/>
      </w:pPr>
      <w:r>
        <w:t>8. Conclusion</w:t>
      </w:r>
    </w:p>
    <w:p>
      <w:r>
        <w:t>u</w:t>
      </w:r>
    </w:p>
    <w:p>
      <w:pPr>
        <w:pStyle w:val="Heading2"/>
      </w:pPr>
      <w:r>
        <w:t>9. References</w:t>
      </w:r>
    </w:p>
    <w:p>
      <w:pPr>
        <w:pStyle w:val="ListNumber"/>
      </w:pPr>
      <w:r>
        <w:t>MPCB – E-Waste Management</w:t>
      </w:r>
    </w:p>
    <w:p>
      <w:pPr>
        <w:pStyle w:val="ListNumber"/>
      </w:pPr>
      <w:r>
        <w:t>MMRDA – E-Waste Processing &amp; Disposal Facility</w:t>
      </w:r>
    </w:p>
    <w:p>
      <w:pPr>
        <w:pStyle w:val="ListNumber"/>
      </w:pPr>
      <w:r>
        <w:t>MPCB Circular Economy Directory 2025</w:t>
      </w:r>
    </w:p>
    <w:p>
      <w:pPr>
        <w:pStyle w:val="ListNumber"/>
      </w:pPr>
      <w:r>
        <w:t>Mumbai Port Authority – e-waste disposal</w:t>
      </w:r>
    </w:p>
    <w:p>
      <w:r>
        <w:br w:type="page"/>
      </w:r>
    </w:p>
    <w:p>
      <w:pPr>
        <w:pStyle w:val="Heading1"/>
      </w:pPr>
      <w:r>
        <w:t>7. Kerala – Clean Kerala Company</w:t>
      </w:r>
    </w:p>
    <w:p>
      <w:pPr>
        <w:pStyle w:val="Heading2"/>
      </w:pPr>
      <w:r>
        <w:t>1. Executive Summary</w:t>
      </w:r>
    </w:p>
    <w:p>
      <w:r>
        <w:t>Clean Kerala Company Limited is a Government of Kerala undertaking connecting local governments and collection systems with authorized downstream treatment.</w:t>
      </w:r>
    </w:p>
    <w:p>
      <w:pPr>
        <w:pStyle w:val="Heading2"/>
      </w:pPr>
      <w:r>
        <w:t>2. Background</w:t>
      </w:r>
    </w:p>
    <w:p>
      <w:r>
        <w:t>Clean Kerala Company Limited is a Government of Kerala undertaking connecting local governments and collection systems with authorized downstream treatment.</w:t>
      </w:r>
    </w:p>
    <w:p>
      <w:pPr>
        <w:pStyle w:val="Heading2"/>
      </w:pPr>
      <w:r>
        <w:t>3. Strategy / Initiative</w:t>
      </w:r>
    </w:p>
    <w:p>
      <w:r>
        <w:t>State-led coordination + local collection + authorized downstream recycling</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Government coordination</w:t>
            </w:r>
          </w:p>
        </w:tc>
        <w:tc>
          <w:tcPr>
            <w:tcW w:type="dxa" w:w="5112"/>
            <w:vAlign w:val="center"/>
          </w:tcPr>
          <w:p>
            <w:r>
              <w:t>Logistics/downstream dependence</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District dashboards and EPR integration</w:t>
            </w:r>
          </w:p>
        </w:tc>
        <w:tc>
          <w:tcPr>
            <w:tcW w:type="dxa" w:w="5112"/>
            <w:vAlign w:val="center"/>
          </w:tcPr>
          <w:p>
            <w:r>
              <w:t>Growing waste and collection costs</w:t>
            </w:r>
          </w:p>
        </w:tc>
      </w:tr>
    </w:tbl>
    <w:p/>
    <w:p>
      <w:pPr>
        <w:pStyle w:val="Heading2"/>
      </w:pPr>
      <w:r>
        <w:t>6. Comparison with India</w:t>
      </w:r>
    </w:p>
    <w:p>
      <w:r>
        <w:t>Kerala shows how state/local institutions can strengthen the collection side of India's national EPR framework.</w:t>
      </w:r>
    </w:p>
    <w:p>
      <w:pPr>
        <w:pStyle w:val="Heading2"/>
      </w:pPr>
      <w:r>
        <w:t>7. Recommendations</w:t>
      </w:r>
    </w:p>
    <w:p>
      <w:pPr>
        <w:pStyle w:val="ListBullet"/>
      </w:pPr>
      <w:r>
        <w:t>District collection calendars; worker training/PPE; CPCB-linked dashboards; expand safe local treatment where viable.</w:t>
      </w:r>
    </w:p>
    <w:p>
      <w:pPr>
        <w:pStyle w:val="Heading2"/>
      </w:pPr>
      <w:r>
        <w:t>8. Conclusion</w:t>
      </w:r>
    </w:p>
    <w:p>
      <w:r>
        <w:t>e</w:t>
      </w:r>
    </w:p>
    <w:p>
      <w:pPr>
        <w:pStyle w:val="Heading2"/>
      </w:pPr>
      <w:r>
        <w:t>9. References</w:t>
      </w:r>
    </w:p>
    <w:p>
      <w:pPr>
        <w:pStyle w:val="ListNumber"/>
      </w:pPr>
      <w:r>
        <w:t>Clean Kerala Company – official website</w:t>
      </w:r>
    </w:p>
    <w:p>
      <w:pPr>
        <w:pStyle w:val="ListNumber"/>
      </w:pPr>
      <w:r>
        <w:t>Kerala LSGD – CKCL</w:t>
      </w:r>
    </w:p>
    <w:p>
      <w:pPr>
        <w:pStyle w:val="ListNumber"/>
      </w:pPr>
      <w:r>
        <w:t>Kerala State Planning Board – Economic Review</w:t>
      </w:r>
    </w:p>
    <w:p>
      <w:r>
        <w:br w:type="page"/>
      </w:r>
    </w:p>
    <w:p>
      <w:pPr>
        <w:pStyle w:val="Heading1"/>
      </w:pPr>
      <w:r>
        <w:t>8. Pune – SWaCH Model</w:t>
      </w:r>
    </w:p>
    <w:p>
      <w:pPr>
        <w:pStyle w:val="Heading2"/>
      </w:pPr>
      <w:r>
        <w:t>1. Executive Summary</w:t>
      </w:r>
    </w:p>
    <w:p>
      <w:r>
        <w:t>SWaCH is a worker-owned cooperative of self-employed waste collectors. Its Pune model combines door-to-door collection, material recovery, livelihoods and dedicated e-waste services such as E-Collect/V-Collect.</w:t>
      </w:r>
    </w:p>
    <w:p>
      <w:pPr>
        <w:pStyle w:val="Heading2"/>
      </w:pPr>
      <w:r>
        <w:t>2. Background</w:t>
      </w:r>
    </w:p>
    <w:p>
      <w:r>
        <w:t>SWaCH is a worker-owned cooperative of self-employed waste collectors. Its Pune model combines door-to-door collection, material recovery, livelihoods and dedicated e-waste services such as E-Collect/V-Collect.</w:t>
      </w:r>
    </w:p>
    <w:p>
      <w:pPr>
        <w:pStyle w:val="Heading2"/>
      </w:pPr>
      <w:r>
        <w:t>3. Strategy / Initiative</w:t>
      </w:r>
    </w:p>
    <w:p>
      <w:r>
        <w:t>Inclusive worker-owned collection + decentralized recovery + dedicated e-waste services</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Collection reach and inclusion</w:t>
            </w:r>
          </w:p>
        </w:tc>
        <w:tc>
          <w:tcPr>
            <w:tcW w:type="dxa" w:w="5112"/>
            <w:vAlign w:val="center"/>
          </w:tcPr>
          <w:p>
            <w:r>
              <w:t>E-waste-specific quantity not separately reported</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Producer partnerships</w:t>
            </w:r>
          </w:p>
        </w:tc>
        <w:tc>
          <w:tcPr>
            <w:tcW w:type="dxa" w:w="5112"/>
            <w:vAlign w:val="center"/>
          </w:tcPr>
          <w:p>
            <w:r>
              <w:t>Unsafe downstream handling if not channelized</w:t>
            </w:r>
          </w:p>
        </w:tc>
      </w:tr>
    </w:tbl>
    <w:p/>
    <w:p>
      <w:pPr>
        <w:pStyle w:val="Heading2"/>
      </w:pPr>
      <w:r>
        <w:t>6. Comparison with India</w:t>
      </w:r>
    </w:p>
    <w:p>
      <w:r>
        <w:t>SWaCH offers a model for connecting India's large informal collection workforce to safe, registered e-waste recycling.</w:t>
      </w:r>
    </w:p>
    <w:p>
      <w:pPr>
        <w:pStyle w:val="Heading2"/>
      </w:pPr>
      <w:r>
        <w:t>7. Recommendations</w:t>
      </w:r>
    </w:p>
    <w:p>
      <w:pPr>
        <w:pStyle w:val="ListBullet"/>
      </w:pPr>
      <w:r>
        <w:t>Dedicated e-waste collection routes; PPE/training; batch tracking; producer-funded partnerships with cooperatives.</w:t>
      </w:r>
    </w:p>
    <w:p>
      <w:pPr>
        <w:pStyle w:val="Heading2"/>
      </w:pPr>
      <w:r>
        <w:t>8. Conclusion</w:t>
      </w:r>
    </w:p>
    <w:p>
      <w:r>
        <w:t>W</w:t>
      </w:r>
    </w:p>
    <w:p>
      <w:pPr>
        <w:pStyle w:val="Heading2"/>
      </w:pPr>
      <w:r>
        <w:t>9. References</w:t>
      </w:r>
    </w:p>
    <w:p>
      <w:pPr>
        <w:pStyle w:val="ListNumber"/>
      </w:pPr>
      <w:r>
        <w:t>SWaCH official website and Impact 2025</w:t>
      </w:r>
    </w:p>
    <w:p>
      <w:pPr>
        <w:pStyle w:val="ListNumber"/>
      </w:pPr>
      <w:r>
        <w:t>SWaCH resources/case studies</w:t>
      </w:r>
    </w:p>
    <w:p>
      <w:pPr>
        <w:pStyle w:val="ListNumber"/>
      </w:pPr>
      <w:r>
        <w:t>CPCB EPR Portal</w:t>
      </w:r>
    </w:p>
    <w:p>
      <w:r>
        <w:br w:type="page"/>
      </w:r>
    </w:p>
    <w:p>
      <w:pPr>
        <w:pStyle w:val="Heading1"/>
      </w:pPr>
      <w:r>
        <w:t>9. Dharavi – Recycling Ecosystem</w:t>
      </w:r>
    </w:p>
    <w:p>
      <w:pPr>
        <w:pStyle w:val="Heading2"/>
      </w:pPr>
      <w:r>
        <w:t>1. Executive Summary</w:t>
      </w:r>
    </w:p>
    <w:p>
      <w:r>
        <w:t>Dharavi contains a dense informal recycling economy involving waste pickers, traders, sorters, brokers and processors. It demonstrates strong resource recovery and livelihood generation but also serious safety and environmental risks where hazardous processing is informal.</w:t>
      </w:r>
    </w:p>
    <w:p>
      <w:pPr>
        <w:pStyle w:val="Heading2"/>
      </w:pPr>
      <w:r>
        <w:t>2. Background</w:t>
      </w:r>
    </w:p>
    <w:p>
      <w:r>
        <w:t>Dharavi contains a dense informal recycling economy involving waste pickers, traders, sorters, brokers and processors. It demonstrates strong resource recovery and livelihood generation but also serious safety and environmental risks where hazardous processing is informal.</w:t>
      </w:r>
    </w:p>
    <w:p>
      <w:pPr>
        <w:pStyle w:val="Heading2"/>
      </w:pPr>
      <w:r>
        <w:t>3. Strategy / Initiative</w:t>
      </w:r>
    </w:p>
    <w:p>
      <w:r>
        <w:t>Dense informal collection, sorting, trading, reuse and material recovery</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High reach and livelihood generation</w:t>
            </w:r>
          </w:p>
        </w:tc>
        <w:tc>
          <w:tcPr>
            <w:tcW w:type="dxa" w:w="5112"/>
            <w:vAlign w:val="center"/>
          </w:tcPr>
          <w:p>
            <w:r>
              <w:t>Safety, pollution and traceability risks</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Safer formalization</w:t>
            </w:r>
          </w:p>
        </w:tc>
        <w:tc>
          <w:tcPr>
            <w:tcW w:type="dxa" w:w="5112"/>
            <w:vAlign w:val="center"/>
          </w:tcPr>
          <w:p>
            <w:r>
              <w:t>Displacement and loss of recycling livelihoods</w:t>
            </w:r>
          </w:p>
        </w:tc>
      </w:tr>
    </w:tbl>
    <w:p/>
    <w:p>
      <w:pPr>
        <w:pStyle w:val="Heading2"/>
      </w:pPr>
      <w:r>
        <w:t>6. Comparison with India</w:t>
      </w:r>
    </w:p>
    <w:p>
      <w:r>
        <w:t>Dharavi shows why India's circular economy policy must integrate informal workers rather than assuming formal plants can replace collection networks.</w:t>
      </w:r>
    </w:p>
    <w:p>
      <w:pPr>
        <w:pStyle w:val="Heading2"/>
      </w:pPr>
      <w:r>
        <w:t>7. Recommendations</w:t>
      </w:r>
    </w:p>
    <w:p>
      <w:pPr>
        <w:pStyle w:val="ListBullet"/>
      </w:pPr>
      <w:r>
        <w:t>Safer equipment/PPE; formal aggregation; authorized downstream links; worker representation in redevelopment and policy.</w:t>
      </w:r>
    </w:p>
    <w:p>
      <w:pPr>
        <w:pStyle w:val="Heading2"/>
      </w:pPr>
      <w:r>
        <w:t>8. Conclusion</w:t>
      </w:r>
    </w:p>
    <w:p>
      <w:r>
        <w:t>h</w:t>
      </w:r>
    </w:p>
    <w:p>
      <w:pPr>
        <w:pStyle w:val="Heading2"/>
      </w:pPr>
      <w:r>
        <w:t>9. References</w:t>
      </w:r>
    </w:p>
    <w:p>
      <w:pPr>
        <w:pStyle w:val="ListNumber"/>
      </w:pPr>
      <w:r>
        <w:t>Jeffery, Parry &amp; Samant (2026), Compound 13 Lab, Springer Nature</w:t>
      </w:r>
    </w:p>
    <w:p>
      <w:pPr>
        <w:pStyle w:val="ListNumber"/>
      </w:pPr>
      <w:r>
        <w:t>Pulitzer Center – Dharavi's Recycling Economy</w:t>
      </w:r>
    </w:p>
    <w:p>
      <w:r>
        <w:br w:type="page"/>
      </w:r>
    </w:p>
    <w:p>
      <w:pPr>
        <w:pStyle w:val="Heading1"/>
      </w:pPr>
      <w:r>
        <w:t>10. Dell – Circular Economy Strategy</w:t>
      </w:r>
    </w:p>
    <w:p>
      <w:pPr>
        <w:pStyle w:val="Heading2"/>
      </w:pPr>
      <w:r>
        <w:t>1. Executive Summary</w:t>
      </w:r>
    </w:p>
    <w:p>
      <w:r>
        <w:t>Dell integrates circularity into product design, repair, refurbishment, material selection, recovery and recycling. Its approach seeks to keep products and materials in use for longer.</w:t>
      </w:r>
    </w:p>
    <w:p>
      <w:pPr>
        <w:pStyle w:val="Heading2"/>
      </w:pPr>
      <w:r>
        <w:t>2. Background</w:t>
      </w:r>
    </w:p>
    <w:p>
      <w:r>
        <w:t>Dell integrates circularity into product design, repair, refurbishment, material selection, recovery and recycling. Its approach seeks to keep products and materials in use for longer.</w:t>
      </w:r>
    </w:p>
    <w:p>
      <w:pPr>
        <w:pStyle w:val="Heading2"/>
      </w:pPr>
      <w:r>
        <w:t>3. Strategy / Initiative</w:t>
      </w:r>
    </w:p>
    <w:p>
      <w:r>
        <w:t>Circular design + repair + reuse + recycled materials + take-back</w:t>
      </w:r>
    </w:p>
    <w:p>
      <w:r>
        <w:t>Key components:</w:t>
      </w:r>
    </w:p>
    <w:p>
      <w:pPr>
        <w:pStyle w:val="Heading2"/>
      </w:pPr>
      <w:r>
        <w:t>4. Impact &amp; Results with Data Table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Indicator</w:t>
            </w:r>
          </w:p>
        </w:tc>
        <w:tc>
          <w:tcPr>
            <w:tcW w:type="dxa" w:w="5112"/>
            <w:shd w:fill="1F4E78"/>
          </w:tcPr>
          <w:p>
            <w:r>
              <w:rPr>
                <w:b/>
                <w:color w:val="FFFFFF"/>
              </w:rPr>
              <w:t>Value</w:t>
            </w:r>
          </w:p>
        </w:tc>
      </w:tr>
    </w:tbl>
    <w:p/>
    <w:p>
      <w:pPr>
        <w:pStyle w:val="Heading2"/>
      </w:pPr>
      <w:r>
        <w:t>5. SWOT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Strengths</w:t>
            </w:r>
          </w:p>
        </w:tc>
        <w:tc>
          <w:tcPr>
            <w:tcW w:type="dxa" w:w="5112"/>
            <w:shd w:fill="1F4E78"/>
          </w:tcPr>
          <w:p>
            <w:r>
              <w:rPr>
                <w:b/>
                <w:color w:val="FFFFFF"/>
              </w:rPr>
              <w:t>Weaknesses</w:t>
            </w:r>
          </w:p>
        </w:tc>
      </w:tr>
      <w:tr>
        <w:tc>
          <w:tcPr>
            <w:tcW w:type="dxa" w:w="5112"/>
            <w:vAlign w:val="center"/>
          </w:tcPr>
          <w:p>
            <w:r>
              <w:t>Lifecycle approach</w:t>
            </w:r>
          </w:p>
        </w:tc>
        <w:tc>
          <w:tcPr>
            <w:tcW w:type="dxa" w:w="5112"/>
            <w:vAlign w:val="center"/>
          </w:tcPr>
          <w:p>
            <w:r>
              <w:t>Cost and supply-chain complexity</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rPr>
              <w:t>Opportunities</w:t>
            </w:r>
          </w:p>
        </w:tc>
        <w:tc>
          <w:tcPr>
            <w:tcW w:type="dxa" w:w="5112"/>
            <w:shd w:fill="1F4E78"/>
          </w:tcPr>
          <w:p>
            <w:r>
              <w:rPr>
                <w:b/>
                <w:color w:val="FFFFFF"/>
              </w:rPr>
              <w:t>Threats</w:t>
            </w:r>
          </w:p>
        </w:tc>
      </w:tr>
      <w:tr>
        <w:tc>
          <w:tcPr>
            <w:tcW w:type="dxa" w:w="5112"/>
            <w:vAlign w:val="center"/>
          </w:tcPr>
          <w:p>
            <w:r>
              <w:t>Modular/repairable design</w:t>
            </w:r>
          </w:p>
        </w:tc>
        <w:tc>
          <w:tcPr>
            <w:tcW w:type="dxa" w:w="5112"/>
            <w:vAlign w:val="center"/>
          </w:tcPr>
          <w:p>
            <w:r>
              <w:t>Rapid product obsolescence</w:t>
            </w:r>
          </w:p>
        </w:tc>
      </w:tr>
    </w:tbl>
    <w:p/>
    <w:p>
      <w:pPr>
        <w:pStyle w:val="Heading2"/>
      </w:pPr>
      <w:r>
        <w:t>6. Comparison with India</w:t>
      </w:r>
    </w:p>
    <w:p>
      <w:r>
        <w:t>India's EPR framework is mainly end-of-life oriented; Dell adds a product-design and lifetime-extension perspective that can complement EPR.</w:t>
      </w:r>
    </w:p>
    <w:p>
      <w:pPr>
        <w:pStyle w:val="Heading2"/>
      </w:pPr>
      <w:r>
        <w:t>7. Recommendations</w:t>
      </w:r>
    </w:p>
    <w:p>
      <w:pPr>
        <w:pStyle w:val="ListBullet"/>
      </w:pPr>
      <w:r>
        <w:t>Promote repairability; strengthen take-back; build markets for recycled materials; measure lifetime extension and recovery, not only recycling tonnage.</w:t>
      </w:r>
    </w:p>
    <w:p>
      <w:pPr>
        <w:pStyle w:val="Heading2"/>
      </w:pPr>
      <w:r>
        <w:t>8. Conclusion</w:t>
      </w:r>
    </w:p>
    <w:p>
      <w:r>
        <w:t>e</w:t>
      </w:r>
    </w:p>
    <w:p>
      <w:pPr>
        <w:pStyle w:val="Heading2"/>
      </w:pPr>
      <w:r>
        <w:t>9. References</w:t>
      </w:r>
    </w:p>
    <w:p>
      <w:pPr>
        <w:pStyle w:val="ListNumber"/>
      </w:pPr>
      <w:r>
        <w:t>Dell – Accelerating the Circular Economy</w:t>
      </w:r>
    </w:p>
    <w:p>
      <w:pPr>
        <w:pStyle w:val="ListNumber"/>
      </w:pPr>
      <w:r>
        <w:t>Dell – Responsible Recovery and Recycling</w:t>
      </w:r>
    </w:p>
    <w:p>
      <w:pPr>
        <w:pStyle w:val="ListNumber"/>
      </w:pPr>
      <w:r>
        <w:t>ICMR – From Waste to Worth: Dell's Strategy for a Circular Economy</w:t>
      </w:r>
    </w:p>
    <w:p>
      <w:r>
        <w:br w:type="page"/>
      </w:r>
    </w:p>
    <w:p>
      <w:pPr>
        <w:pStyle w:val="Heading1"/>
      </w:pPr>
      <w:r>
        <w:t>ONE-PAGE EXAM REVISION SHEET</w:t>
      </w:r>
    </w:p>
    <w:p>
      <w:r>
        <w:br w:type="page"/>
      </w:r>
    </w:p>
    <w:p>
      <w:pPr>
        <w:pStyle w:val="Heading1"/>
      </w:pPr>
      <w:r>
        <w:t>ONE-PAGE EXAM REVISION SHEET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tcPr>
          <w:p>
            <w:r>
              <w:rPr>
                <w:b/>
                <w:color w:val="FFFFFF"/>
              </w:rPr>
              <w:t>Case</w:t>
            </w:r>
          </w:p>
        </w:tc>
        <w:tc>
          <w:tcPr>
            <w:tcW w:type="dxa" w:w="2556"/>
            <w:shd w:fill="1F4E78"/>
          </w:tcPr>
          <w:p>
            <w:r>
              <w:rPr>
                <w:b/>
                <w:color w:val="FFFFFF"/>
              </w:rPr>
              <w:t>Strategy</w:t>
            </w:r>
          </w:p>
        </w:tc>
        <w:tc>
          <w:tcPr>
            <w:tcW w:type="dxa" w:w="2556"/>
            <w:shd w:fill="1F4E78"/>
          </w:tcPr>
          <w:p>
            <w:r>
              <w:rPr>
                <w:b/>
                <w:color w:val="FFFFFF"/>
              </w:rPr>
              <w:t>Key data</w:t>
            </w:r>
          </w:p>
        </w:tc>
        <w:tc>
          <w:tcPr>
            <w:tcW w:type="dxa" w:w="2556"/>
            <w:shd w:fill="1F4E78"/>
          </w:tcPr>
          <w:p>
            <w:r>
              <w:rPr>
                <w:b/>
                <w:color w:val="FFFFFF"/>
              </w:rPr>
              <w:t>Exam lesson</w:t>
            </w:r>
          </w:p>
        </w:tc>
      </w:tr>
      <w:tr>
        <w:tc>
          <w:tcPr>
            <w:tcW w:type="dxa" w:w="2556"/>
            <w:vAlign w:val="center"/>
          </w:tcPr>
          <w:p>
            <w:r>
              <w:t>Japan</w:t>
            </w:r>
          </w:p>
        </w:tc>
        <w:tc>
          <w:tcPr>
            <w:tcW w:type="dxa" w:w="2556"/>
            <w:vAlign w:val="center"/>
          </w:tcPr>
          <w:p>
            <w:r>
              <w:t>Home Appliance Recycling Law; retailer take-back + manufacturer recycling</w:t>
            </w:r>
          </w:p>
        </w:tc>
        <w:tc>
          <w:tcPr>
            <w:tcW w:type="dxa" w:w="2556"/>
            <w:vAlign w:val="center"/>
          </w:tcPr>
          <w:p>
            <w:r>
              <w:t>70.4% FY2023 collection/recovery; ~14.44M units</w:t>
            </w:r>
          </w:p>
        </w:tc>
        <w:tc>
          <w:tcPr>
            <w:tcW w:type="dxa" w:w="2556"/>
            <w:vAlign w:val="center"/>
          </w:tcPr>
          <w:p>
            <w:r>
              <w:t>Clear responsibility + take-back</w:t>
            </w:r>
          </w:p>
        </w:tc>
      </w:tr>
      <w:tr>
        <w:tc>
          <w:tcPr>
            <w:tcW w:type="dxa" w:w="2556"/>
            <w:vAlign w:val="center"/>
          </w:tcPr>
          <w:p>
            <w:r>
              <w:t>Switzerland</w:t>
            </w:r>
          </w:p>
        </w:tc>
        <w:tc>
          <w:tcPr>
            <w:tcW w:type="dxa" w:w="2556"/>
            <w:vAlign w:val="center"/>
          </w:tcPr>
          <w:p>
            <w:r>
              <w:t>SENS/Swico + advance recycling contribution</w:t>
            </w:r>
          </w:p>
        </w:tc>
        <w:tc>
          <w:tcPr>
            <w:tcW w:type="dxa" w:w="2556"/>
            <w:vAlign w:val="center"/>
          </w:tcPr>
          <w:p>
            <w:r>
              <w:t>&gt;140,000 t processed in 2025</w:t>
            </w:r>
          </w:p>
        </w:tc>
        <w:tc>
          <w:tcPr>
            <w:tcW w:type="dxa" w:w="2556"/>
            <w:vAlign w:val="center"/>
          </w:tcPr>
          <w:p>
            <w:r>
              <w:t>Convenience + financing</w:t>
            </w:r>
          </w:p>
        </w:tc>
      </w:tr>
      <w:tr>
        <w:tc>
          <w:tcPr>
            <w:tcW w:type="dxa" w:w="2556"/>
            <w:vAlign w:val="center"/>
          </w:tcPr>
          <w:p>
            <w:r>
              <w:t>India Rules 2022</w:t>
            </w:r>
          </w:p>
        </w:tc>
        <w:tc>
          <w:tcPr>
            <w:tcW w:type="dxa" w:w="2556"/>
            <w:vAlign w:val="center"/>
          </w:tcPr>
          <w:p>
            <w:r>
              <w:t>Digital EPR portal + targets + certificates</w:t>
            </w:r>
          </w:p>
        </w:tc>
        <w:tc>
          <w:tcPr>
            <w:tcW w:type="dxa" w:w="2556"/>
            <w:vAlign w:val="center"/>
          </w:tcPr>
          <w:p>
            <w:r>
              <w:t>15%/20% new-producer targets; certificates valid 2 years</w:t>
            </w:r>
          </w:p>
        </w:tc>
        <w:tc>
          <w:tcPr>
            <w:tcW w:type="dxa" w:w="2556"/>
            <w:vAlign w:val="center"/>
          </w:tcPr>
          <w:p>
            <w:r>
              <w:t>Traceability + enforcement</w:t>
            </w:r>
          </w:p>
        </w:tc>
      </w:tr>
      <w:tr>
        <w:tc>
          <w:tcPr>
            <w:tcW w:type="dxa" w:w="2556"/>
            <w:vAlign w:val="center"/>
          </w:tcPr>
          <w:p>
            <w:r>
              <w:t>India EPR</w:t>
            </w:r>
          </w:p>
        </w:tc>
        <w:tc>
          <w:tcPr>
            <w:tcW w:type="dxa" w:w="2556"/>
            <w:vAlign w:val="center"/>
          </w:tcPr>
          <w:p>
            <w:r>
              <w:t>Producer responsibility + certificates</w:t>
            </w:r>
          </w:p>
        </w:tc>
        <w:tc>
          <w:tcPr>
            <w:tcW w:type="dxa" w:w="2556"/>
            <w:vAlign w:val="center"/>
          </w:tcPr>
          <w:p>
            <w:r>
              <w:t>Recykal: scale, market expansion, reduced uncertainty</w:t>
            </w:r>
          </w:p>
        </w:tc>
        <w:tc>
          <w:tcPr>
            <w:tcW w:type="dxa" w:w="2556"/>
            <w:vAlign w:val="center"/>
          </w:tcPr>
          <w:p>
            <w:r>
              <w:t>Verify physical outcomes</w:t>
            </w:r>
          </w:p>
        </w:tc>
      </w:tr>
      <w:tr>
        <w:tc>
          <w:tcPr>
            <w:tcW w:type="dxa" w:w="2556"/>
            <w:vAlign w:val="center"/>
          </w:tcPr>
          <w:p>
            <w:r>
              <w:t>Bengaluru</w:t>
            </w:r>
          </w:p>
        </w:tc>
        <w:tc>
          <w:tcPr>
            <w:tcW w:type="dxa" w:w="2556"/>
            <w:vAlign w:val="center"/>
          </w:tcPr>
          <w:p>
            <w:r>
              <w:t>Formal recyclers + informal network + awareness</w:t>
            </w:r>
          </w:p>
        </w:tc>
        <w:tc>
          <w:tcPr>
            <w:tcW w:type="dxa" w:w="2556"/>
            <w:vAlign w:val="center"/>
          </w:tcPr>
          <w:p>
            <w:r>
              <w:t>~12,000 t historical computer/peripheral estimate; 20,000-household program</w:t>
            </w:r>
          </w:p>
        </w:tc>
        <w:tc>
          <w:tcPr>
            <w:tcW w:type="dxa" w:w="2556"/>
            <w:vAlign w:val="center"/>
          </w:tcPr>
          <w:p>
            <w:r>
              <w:t>Integrate formal/informal</w:t>
            </w:r>
          </w:p>
        </w:tc>
      </w:tr>
      <w:tr>
        <w:tc>
          <w:tcPr>
            <w:tcW w:type="dxa" w:w="2556"/>
            <w:vAlign w:val="center"/>
          </w:tcPr>
          <w:p>
            <w:r>
              <w:t>Mumbai</w:t>
            </w:r>
          </w:p>
        </w:tc>
        <w:tc>
          <w:tcPr>
            <w:tcW w:type="dxa" w:w="2556"/>
            <w:vAlign w:val="center"/>
          </w:tcPr>
          <w:p>
            <w:r>
              <w:t>MPCB + recyclers + informal ecosystem</w:t>
            </w:r>
          </w:p>
        </w:tc>
        <w:tc>
          <w:tcPr>
            <w:tcW w:type="dxa" w:w="2556"/>
            <w:vAlign w:val="center"/>
          </w:tcPr>
          <w:p>
            <w:r>
              <w:t>14 recyclers in 2025 Mumbai directory; Port 25.05 MT FY23</w:t>
            </w:r>
          </w:p>
        </w:tc>
        <w:tc>
          <w:tcPr>
            <w:tcW w:type="dxa" w:w="2556"/>
            <w:vAlign w:val="center"/>
          </w:tcPr>
          <w:p>
            <w:r>
              <w:t>City-level tracking</w:t>
            </w:r>
          </w:p>
        </w:tc>
      </w:tr>
      <w:tr>
        <w:tc>
          <w:tcPr>
            <w:tcW w:type="dxa" w:w="2556"/>
            <w:vAlign w:val="center"/>
          </w:tcPr>
          <w:p>
            <w:r>
              <w:t>Kerala</w:t>
            </w:r>
          </w:p>
        </w:tc>
        <w:tc>
          <w:tcPr>
            <w:tcW w:type="dxa" w:w="2556"/>
            <w:vAlign w:val="center"/>
          </w:tcPr>
          <w:p>
            <w:r>
              <w:t>CKCL + local bodies + authorized recyclers</w:t>
            </w:r>
          </w:p>
        </w:tc>
        <w:tc>
          <w:tcPr>
            <w:tcW w:type="dxa" w:w="2556"/>
            <w:vAlign w:val="center"/>
          </w:tcPr>
          <w:p>
            <w:r>
              <w:t>2,265 MT cited e-waste collection</w:t>
            </w:r>
          </w:p>
        </w:tc>
        <w:tc>
          <w:tcPr>
            <w:tcW w:type="dxa" w:w="2556"/>
            <w:vAlign w:val="center"/>
          </w:tcPr>
          <w:p>
            <w:r>
              <w:t>Strong last-mile coordination</w:t>
            </w:r>
          </w:p>
        </w:tc>
      </w:tr>
      <w:tr>
        <w:tc>
          <w:tcPr>
            <w:tcW w:type="dxa" w:w="2556"/>
            <w:vAlign w:val="center"/>
          </w:tcPr>
          <w:p>
            <w:r>
              <w:t>Pune SWaCH</w:t>
            </w:r>
          </w:p>
        </w:tc>
        <w:tc>
          <w:tcPr>
            <w:tcW w:type="dxa" w:w="2556"/>
            <w:vAlign w:val="center"/>
          </w:tcPr>
          <w:p>
            <w:r>
              <w:t>Worker cooperative + door-to-door + E-Collect</w:t>
            </w:r>
          </w:p>
        </w:tc>
        <w:tc>
          <w:tcPr>
            <w:tcW w:type="dxa" w:w="2556"/>
            <w:vAlign w:val="center"/>
          </w:tcPr>
          <w:p>
            <w:r>
              <w:t>1M households; 4,000+ pickers; 82,891 t recycled</w:t>
            </w:r>
          </w:p>
        </w:tc>
        <w:tc>
          <w:tcPr>
            <w:tcW w:type="dxa" w:w="2556"/>
            <w:vAlign w:val="center"/>
          </w:tcPr>
          <w:p>
            <w:r>
              <w:t>Inclusive collection</w:t>
            </w:r>
          </w:p>
        </w:tc>
      </w:tr>
      <w:tr>
        <w:tc>
          <w:tcPr>
            <w:tcW w:type="dxa" w:w="2556"/>
            <w:vAlign w:val="center"/>
          </w:tcPr>
          <w:p>
            <w:r>
              <w:t>Dharavi</w:t>
            </w:r>
          </w:p>
        </w:tc>
        <w:tc>
          <w:tcPr>
            <w:tcW w:type="dxa" w:w="2556"/>
            <w:vAlign w:val="center"/>
          </w:tcPr>
          <w:p>
            <w:r>
              <w:t>Informal circular economy</w:t>
            </w:r>
          </w:p>
        </w:tc>
        <w:tc>
          <w:tcPr>
            <w:tcW w:type="dxa" w:w="2556"/>
            <w:vAlign w:val="center"/>
          </w:tcPr>
          <w:p>
            <w:r>
              <w:t>~80% hard-waste estimate at peak; ~250,000 livelihoods estimate</w:t>
            </w:r>
          </w:p>
        </w:tc>
        <w:tc>
          <w:tcPr>
            <w:tcW w:type="dxa" w:w="2556"/>
            <w:vAlign w:val="center"/>
          </w:tcPr>
          <w:p>
            <w:r>
              <w:t>Safety + livelihood balance</w:t>
            </w:r>
          </w:p>
        </w:tc>
      </w:tr>
      <w:tr>
        <w:tc>
          <w:tcPr>
            <w:tcW w:type="dxa" w:w="2556"/>
            <w:vAlign w:val="center"/>
          </w:tcPr>
          <w:p>
            <w:r>
              <w:t>Dell</w:t>
            </w:r>
          </w:p>
        </w:tc>
        <w:tc>
          <w:tcPr>
            <w:tcW w:type="dxa" w:w="2556"/>
            <w:vAlign w:val="center"/>
          </w:tcPr>
          <w:p>
            <w:r>
              <w:t>Circular design + repair + reuse + recovery</w:t>
            </w:r>
          </w:p>
        </w:tc>
        <w:tc>
          <w:tcPr>
            <w:tcW w:type="dxa" w:w="2556"/>
            <w:vAlign w:val="center"/>
          </w:tcPr>
          <w:p>
            <w:r>
              <w:t>2030: 1:1 reuse/recycle by product weight</w:t>
            </w:r>
          </w:p>
        </w:tc>
        <w:tc>
          <w:tcPr>
            <w:tcW w:type="dxa" w:w="2556"/>
            <w:vAlign w:val="center"/>
          </w:tcPr>
          <w:p>
            <w:r>
              <w:t>Design for circularity</w:t>
            </w:r>
          </w:p>
        </w:tc>
      </w:tr>
    </w:tbl>
    <w:p/>
    <w:p>
      <w:r>
        <w:t>Master exam line: Effective e-waste management requires the full chain—design and longer product life, collection, reuse/refurbishment, safe recycling, verified recovery and responsible disposal—supported by producer responsibility and inclusive collection.</w:t>
      </w:r>
    </w:p>
    <w:p>
      <w:pPr>
        <w:pStyle w:val="Heading1"/>
      </w:pPr>
      <w:r>
        <w:t>Master References</w:t>
      </w:r>
    </w:p>
    <w:p>
      <w:pPr>
        <w:pStyle w:val="ListNumber"/>
      </w:pPr>
      <w:r>
        <w:t>Japan METI – https://www.meti.go.jp/policy/recycle/main/english/law/home.html</w:t>
      </w:r>
    </w:p>
    <w:p>
      <w:pPr>
        <w:pStyle w:val="ListNumber"/>
      </w:pPr>
      <w:r>
        <w:t>Japan Ministry of Environment – https://www.env.go.jp/press/press_04804.html</w:t>
      </w:r>
    </w:p>
    <w:p>
      <w:pPr>
        <w:pStyle w:val="ListNumber"/>
      </w:pPr>
      <w:r>
        <w:t>SENS eRecycling – https://www.erecycling.ch/en/</w:t>
      </w:r>
    </w:p>
    <w:p>
      <w:pPr>
        <w:pStyle w:val="ListNumber"/>
      </w:pPr>
      <w:r>
        <w:t>Swico Recycling – https://www.swico.ch/en/recycling/</w:t>
      </w:r>
    </w:p>
    <w:p>
      <w:pPr>
        <w:pStyle w:val="ListNumber"/>
      </w:pPr>
      <w:r>
        <w:t>MoEFCC E-Waste Rules 2022 – https://moef.gov.in/uploads/2022/11/E-Waste-Management-Rules-2022.pdf</w:t>
      </w:r>
    </w:p>
    <w:p>
      <w:pPr>
        <w:pStyle w:val="ListNumber"/>
      </w:pPr>
      <w:r>
        <w:t>CPCB E-Waste EPR Portal – https://eprewaste.cpcb.gov.in/</w:t>
      </w:r>
    </w:p>
    <w:p>
      <w:pPr>
        <w:pStyle w:val="ListNumber"/>
      </w:pPr>
      <w:r>
        <w:t>MPCB E-Waste Management – https://www.mpcb.gov.in/en/node/1777</w:t>
      </w:r>
    </w:p>
    <w:p>
      <w:pPr>
        <w:pStyle w:val="ListNumber"/>
      </w:pPr>
      <w:r>
        <w:t>MMRDA E-Waste Facility – https://mmrda.maharashtra.gov.in/en/projects/environment/e-Waste-processing-disposal-facility/overview</w:t>
      </w:r>
    </w:p>
    <w:p>
      <w:pPr>
        <w:pStyle w:val="ListNumber"/>
      </w:pPr>
      <w:r>
        <w:t>Clean Kerala Company – https://cleankeralacompany.com/</w:t>
      </w:r>
    </w:p>
    <w:p>
      <w:pPr>
        <w:pStyle w:val="ListNumber"/>
      </w:pPr>
      <w:r>
        <w:t>Kerala LSGD – https://lsgd.kerala.gov.in/en/waste-management/supporting-institutions/ckcl/</w:t>
      </w:r>
    </w:p>
    <w:p>
      <w:pPr>
        <w:pStyle w:val="ListNumber"/>
      </w:pPr>
      <w:r>
        <w:t>SWaCH – https://swachcoop.com/</w:t>
      </w:r>
    </w:p>
    <w:p>
      <w:pPr>
        <w:pStyle w:val="ListNumber"/>
      </w:pPr>
      <w:r>
        <w:t>Dell Circular Economy – https://www.dell.com/en-in/dt/corporate/social-impact/advancing-sustainability/accelerating-the-circular-economy.htm</w:t>
      </w:r>
    </w:p>
    <w:p>
      <w:pPr>
        <w:pStyle w:val="ListNumber"/>
      </w:pPr>
      <w:r>
        <w:t>Jeffery, Parry &amp; Samant (2026), Compound 13 Lab, Springer Nature.</w:t>
      </w:r>
    </w:p>
    <w:p>
      <w:pPr>
        <w:pStyle w:val="ListNumber"/>
      </w:pPr>
      <w:r>
        <w:t>Pradhan &amp; Sudhir, E-Waste Management: A Case Study of Bangalore, India.</w:t>
      </w:r>
    </w:p>
    <w:p>
      <w:pPr>
        <w:pStyle w:val="ListNumber"/>
      </w:pPr>
      <w:r>
        <w:t>Bhadra &amp; Mishra (2021), Extended Producer Responsibility in India: Evidence from Recykal.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MSE 2 – E-Waste Case Studies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9748DD5-C19A-4C51-B819-5CB62A4FBFA5}"/>
</file>

<file path=customXml/itemProps3.xml><?xml version="1.0" encoding="utf-8"?>
<ds:datastoreItem xmlns:ds="http://schemas.openxmlformats.org/officeDocument/2006/customXml" ds:itemID="{0AD16C53-CED1-4164-858A-3E8A7757EF21}"/>
</file>

<file path=customXml/itemProps4.xml><?xml version="1.0" encoding="utf-8"?>
<ds:datastoreItem xmlns:ds="http://schemas.openxmlformats.org/officeDocument/2006/customXml" ds:itemID="{C172F4EF-2E61-4960-8BF3-B9E434ACE30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