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LearningMirror — Screening Question Bank v2.1</w:t>
      </w:r>
    </w:p>
    <w:p>
      <w:pPr>
        <w:spacing w:after="240"/>
        <w:jc w:val="center"/>
      </w:pPr>
      <w:r>
        <w:rPr>
          <w:color w:val="6F675F"/>
          <w:sz w:val="22"/>
          <w:szCs w:val="22"/>
        </w:rPr>
        <w:t xml:space="preserve">Ages 5–10 · General flow, silent routing · One AI task per SLD · Aligned with mentor Project Note (Phase 1 MVP) — Daksh Gupta, 4 July 2026</w:t>
      </w:r>
    </w:p>
    <w:p>
      <w:pPr>
        <w:pStyle w:val="Heading1"/>
      </w:pPr>
      <w:r>
        <w:t xml:space="preserve">1. What this document is</w:t>
      </w:r>
    </w:p>
    <w:p>
      <w:pPr>
        <w:spacing w:after="120"/>
      </w:pPr>
      <w:r>
        <w:t xml:space="preserve">This is the screening question set for LearningMirror, updated after the mentor discussions of 3–4 July 2026 and the mentor’s Project Note. Two changes from v2: (1) per the mentor’s instruction, the test is now a single GENERAL flow — the app never names a disorder and never asks the parent to pick a problem area before the test, to avoid biasing the parent; routing between modules happens silently from the answers. (2) Each SLD module now ends with one objective task that requires AI/ML — handwriting recognition for writing, timed read-aloud for reading, timed calculation for maths — matching the AI/ML components table in the mentor’s Project Note (Phase 1 MVP scope). Every question is grounded in an established screening instrument or symptom list, referenced in the third column of each table. All questions are answered by the parent about the child; wording is kept simple enough for a parent with Class 10 education. Hindi versions follow after approval.</w:t>
      </w:r>
    </w:p>
    <w:p>
      <w:pPr>
        <w:pStyle w:val="Heading1"/>
      </w:pPr>
      <w:r>
        <w:t xml:space="preserve">2. Source instruments</w:t>
      </w:r>
    </w:p>
    <w:p>
      <w:pPr>
        <w:pStyle w:val="ListParagraph"/>
        <w:numPr>
          <w:ilvl w:val="0"/>
          <w:numId w:val="2"/>
        </w:numPr>
        <w:spacing w:after="60"/>
      </w:pPr>
      <w:r>
        <w:t xml:space="preserve">SLD-SQ — Specific Learning Disability Screening Questionnaire: 12 yes/no items on classroom learning problems (shared document).</w:t>
      </w:r>
    </w:p>
    <w:p>
      <w:pPr>
        <w:pStyle w:val="ListParagraph"/>
        <w:numPr>
          <w:ilvl w:val="0"/>
          <w:numId w:val="2"/>
        </w:numPr>
        <w:spacing w:after="60"/>
      </w:pPr>
      <w:r>
        <w:t xml:space="preserve">BCSLD — Behavioural Checklist for Screening the Learning Disabled (India): 30 items across 8 areas (visual, auditory, motor, language, memory, perseveration, cognitive, affective); scored 0/1/2, max 60, score above 43 = at risk (shared document).</w:t>
      </w:r>
    </w:p>
    <w:p>
      <w:pPr>
        <w:pStyle w:val="ListParagraph"/>
        <w:numPr>
          <w:ilvl w:val="0"/>
          <w:numId w:val="2"/>
        </w:numPr>
        <w:spacing w:after="60"/>
      </w:pPr>
      <w:r>
        <w:t xml:space="preserve">Assessment of Learning Disability reference notes: IDEA definition, symptom lists for dyslexia/dysgraphia/dyscalculia, and the professional test landscape — WISC, Dyslexia Screening Test (DST-Junior, ages 6.6–11.5), Aston Index, WRAT, Woodcock-Johnson, and Indian tests (BCSLD, Diagnostic Test of LD, Diagnostic Test of Reading Disorders) (shared document).</w:t>
      </w:r>
    </w:p>
    <w:p>
      <w:pPr>
        <w:pStyle w:val="ListParagraph"/>
        <w:numPr>
          <w:ilvl w:val="0"/>
          <w:numId w:val="2"/>
        </w:numPr>
        <w:spacing w:after="60"/>
      </w:pPr>
      <w:r>
        <w:t xml:space="preserve">CLDQ — Colorado Learning Difficulties Questionnaire (Willcutt et al., 2011): 20-item validated PARENT-report screener (N = 8,004) with reading and math scales — the key evidence that parent-report screening works.</w:t>
      </w:r>
    </w:p>
    <w:p>
      <w:pPr>
        <w:pStyle w:val="ListParagraph"/>
        <w:numPr>
          <w:ilvl w:val="0"/>
          <w:numId w:val="2"/>
        </w:numPr>
        <w:spacing w:after="60"/>
      </w:pPr>
      <w:r>
        <w:t xml:space="preserve">DALI — Dyslexia Assessment for Languages of India (NBRC): the standard Indian screening tool, validated on ~4,840 children, with a Junior tool (classes 1–2, ages 5–7) and Middle tool (classes 3–5, ages 8–10) in Hindi, Marathi, Kannada and English. We copy its age split, and it anchors our future Hindi item wording.</w:t>
      </w:r>
    </w:p>
    <w:p>
      <w:pPr>
        <w:pStyle w:val="ListParagraph"/>
        <w:numPr>
          <w:ilvl w:val="0"/>
          <w:numId w:val="2"/>
        </w:numPr>
        <w:spacing w:after="60"/>
      </w:pPr>
      <w:r>
        <w:t xml:space="preserve">Shaywitz DyslexiaScreen (Pearson): 10-item K–3 rating scale of phonological, linguistic and academic behaviours — model for keeping early-reading items short and observational.</w:t>
      </w:r>
    </w:p>
    <w:p>
      <w:pPr>
        <w:pStyle w:val="ListParagraph"/>
        <w:numPr>
          <w:ilvl w:val="0"/>
          <w:numId w:val="2"/>
        </w:numPr>
        <w:spacing w:after="60"/>
      </w:pPr>
      <w:r>
        <w:t xml:space="preserve">DSM-5 Specific Learning Disorder criteria: the three impairment domains (reading, written expression, mathematics) define our three SLD modules.</w:t>
      </w:r>
    </w:p>
    <w:p>
      <w:pPr>
        <w:spacing w:after="120"/>
      </w:pPr>
      <w:r>
        <w:t xml:space="preserve">Note: SLD-SQ and BCSLD are written for teachers/professionals. Items borrowed from them have been reworded into plain parent language, which CLDQ demonstrates is a valid screening approach. LearningMirror remains a screening aid, not a diagnostic instrument.</w:t>
      </w:r>
    </w:p>
    <w:p>
      <w:pPr>
        <w:pStyle w:val="Heading1"/>
      </w:pPr>
      <w:r>
        <w:t xml:space="preserve">3. How the flow works (general test, silent routing)</w:t>
      </w:r>
    </w:p>
    <w:p>
      <w:pPr>
        <w:spacing w:after="120"/>
      </w:pPr>
      <w:r>
        <w:rPr>
          <w:b/>
          <w:bCs/>
        </w:rPr>
        <w:t xml:space="preserve">Mentor rule — no bias. </w:t>
      </w:r>
      <w:r>
        <w:t xml:space="preserve">Nowhere before the results does the app name dyslexia, dyscalculia, dysgraphia, ADHD, or ask the parent what the child struggles with. The parent just starts a “learning check.” Disorders are only named (softly, as patterns) on the result screen. (Mentor call, 4 July 2026.)</w:t>
      </w:r>
    </w:p>
    <w:p>
      <w:pPr>
        <w:spacing w:after="120"/>
      </w:pPr>
      <w:r>
        <w:rPr>
          <w:b/>
          <w:bCs/>
        </w:rPr>
        <w:t xml:space="preserve">Step 1 — Common core (6 questions, everyone). </w:t>
      </w:r>
      <w:r>
        <w:t xml:space="preserve">One signal question per domain, identical for all parents. The answers silently decide which modules load next: any core question scoring 1+ opens its module; if none do, the two highest-scoring domains open anyway. The parent never sees the routing.</w:t>
      </w:r>
    </w:p>
    <w:p>
      <w:pPr>
        <w:spacing w:after="120"/>
      </w:pPr>
      <w:r>
        <w:rPr>
          <w:b/>
          <w:bCs/>
        </w:rPr>
        <w:t xml:space="preserve">Step 2 — Modules (10 questions each; attention has 8). </w:t>
      </w:r>
      <w:r>
        <w:t xml:space="preserve">Presented as a continuous flow, not as named sections. Typical session: 6 core + 1–2 modules = 16–26 questions.</w:t>
      </w:r>
    </w:p>
    <w:p>
      <w:pPr>
        <w:spacing w:after="120"/>
      </w:pPr>
      <w:r>
        <w:rPr>
          <w:b/>
          <w:bCs/>
        </w:rPr>
        <w:t xml:space="preserve">Step 3 — AI task, one per SLD module (see Section 9). </w:t>
      </w:r>
      <w:r>
        <w:t xml:space="preserve">Each SLD module ends with a short objective task the child does: a handwriting photo (writing), a timed read-aloud recording (reading), five timed sums (maths). These produce measurable data that questionnaire answers cannot, and are the AI/ML core of the project.</w:t>
      </w:r>
    </w:p>
    <w:p>
      <w:pPr>
        <w:spacing w:after="120"/>
      </w:pPr>
      <w:r>
        <w:rPr>
          <w:b/>
          <w:bCs/>
        </w:rPr>
        <w:t xml:space="preserve">Answer scale. </w:t>
      </w:r>
      <w:r>
        <w:t xml:space="preserve">Every question uses Often / Sometimes / Never (scored 2 / 1 / 0). This mirrors BCSLD’s Yes / ? / No scoring and is simpler for low-literacy users than the v1 four-point scale.</w:t>
      </w:r>
    </w:p>
    <w:p>
      <w:pPr>
        <w:spacing w:after="120"/>
      </w:pPr>
      <w:r>
        <w:rPr>
          <w:b/>
          <w:bCs/>
        </w:rPr>
        <w:t xml:space="preserve">Age variants. </w:t>
      </w:r>
      <w:r>
        <w:t xml:space="preserve">Following DALI’s split, items marked (5–7) or (8–10) swap wording by the child’s age; unmarked items are shown to all.</w:t>
      </w:r>
    </w:p>
    <w:p>
      <w:pPr>
        <w:pStyle w:val="Heading1"/>
      </w:pPr>
      <w:r>
        <w:t xml:space="preserve">4. Common core — 6 questions (all parents)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Question (parent-facing wording)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Grounded 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Compared with other children the same age, does your child find reading hard (recognising letters, or reading simple words)?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5, 9; Shaywitz; CLDQ reading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Is your child’s writing hard to read, or full of mistakes even when copying from a book or the 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4, 12; BCSLD 16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Does your child make many mistakes in counting or simple maths for their 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2; CLDQ math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Does your child find it hard to sit and finish homework or any 10-minute task?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18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Does your child forget what was just taught, or forget the middle of a 2–3 step instruction (“wash hands, then come eat”)?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8; BCSLD 13, 29</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Has a teacher said your child’s performance is below the class level, even though the child seems bright in other ways?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11; IDEA definition (normal intelligence)</w:t>
            </w:r>
          </w:p>
        </w:tc>
      </w:tr>
    </w:tbl>
    <w:p>
      <w:pPr>
        <w:pStyle w:val="Heading1"/>
      </w:pPr>
      <w:r>
        <w:t xml:space="preserve">5. Module A — Reading (dyslexia-linked patterns), 10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Question (parent-facing wording)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Grounded 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Took much longer than other children to learn letter names and their sounds. (5–7: is still struggling to learn them)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27; Shaywitz; DALI JST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Mixes up letters that look similar when reading — like b/d or प/फ.</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12; dyslexia symptom list (reversals)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join sounds together to read a simple new word (like c-a-t → cat, or क-म-ल → कमल).</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DST-Junior (phonemic segmentation); DALI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Guesses words from the picture or the first letter instead of reading them.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Dyslexia symptom list (substitutions)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Skips words or whole lines, or reads the same line twice, while reading aloud.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9; symptom list (omissions)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Reads much more slowly and with much more effort than classmates.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CLDQ reading; DST (fluency)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tell you what a story was about right after reading 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1; symptom list (comprehension)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Finds rhymes hard — cannot spot or make rhyming words (5–7), or confuses similar-sounding words (8–10).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10; DST (phonological awareness)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A9</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Cries, hides, or makes excuses when it is time to read.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CLDQ-style affect item; BCSLD affective domain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recognise common words on sight (their own name at 5–7; words like “the/and” or और/है at 8–10) even after lots of practice.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Shaywitz; WRAT word reading</w:t>
            </w:r>
          </w:p>
        </w:tc>
      </w:tr>
    </w:tbl>
    <w:p>
      <w:pPr>
        <w:spacing w:after="120"/>
      </w:pPr>
      <w:r>
        <w:t xml:space="preserve">Ends with AI Task 1 — timed read-aloud (Section 9).</w:t>
      </w:r>
    </w:p>
    <w:p>
      <w:pPr>
        <w:pStyle w:val="Heading1"/>
      </w:pPr>
      <w:r>
        <w:t xml:space="preserve">6. Module B — Writing (dysgraphia-linked patterns), 10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Question (parent-facing wording)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Grounded 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Holds the pencil very tightly or awkwardly, and the hand tires or hurts after a little writing.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Dysgraphia checklists (grip/motor)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Letters are very uneven — different sizes, floating above or below the line, odd spacing between words.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Dysgraphia symptom list (penmanship)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Still writes some letters or numbers back-to-front (mirror writing) at age 8+ . (5–7: reverses many letters, not just a few)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12; symptom list (reversals)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Makes spelling mistakes even when copying directly from a book or the 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5, 12; dysgraphia (copying)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Spells the same word in different ways on the same 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Dysgraphia symptom list (inconsistent spelling)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Writes so slowly that classwork or tests are never finished on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Dysgraphia (slow written production)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copy from the board before the teacher rubs it off.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12; BCSLD 16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Leaves out capital letters, matras (मात्राएँ), or full stops almost every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7; symptom list (punctuation)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B9</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Gives good answers out loud, but writes far less than they can say.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20; dysgraphia (written expression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Gets upset or avoids it whenever asked to write even a few lines.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affective; CLDQ-style</w:t>
            </w:r>
          </w:p>
        </w:tc>
      </w:tr>
    </w:tbl>
    <w:p>
      <w:pPr>
        <w:spacing w:after="120"/>
      </w:pPr>
      <w:r>
        <w:t xml:space="preserve">Ends with AI Task 2 — handwriting photo analysis (Section 9).</w:t>
      </w:r>
    </w:p>
    <w:p>
      <w:pPr>
        <w:pStyle w:val="Heading1"/>
      </w:pPr>
      <w:r>
        <w:t xml:space="preserve">7. Module C — Maths (dyscalculia-linked patterns), 10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Question (parent-facing wording)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Grounded 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Skips or repeats numbers when counting real objects (toys, sweets). (5–7 emphasis)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Number-sense screeners; symptom list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say which of two piles has more without counting one by 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Number sense (magnitude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Reads or writes numbers reversed or swapped — 6 for 9, 12 for 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Symptom list (number reversals)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Confuses maths symbols: + − × ÷. (8–10)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SLD-SQ 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Still needs fingers or objects for small sums that classmates do in their head.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Symptom list (math facts)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remember number facts or tables no matter how much they practise. (8–10)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Symptom list (multiplication tables)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 a word problem, cannot decide whether to add, subtract, multiply or divide. (8–10)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Symptom list (word problems); Stanford Diagnostic Math domains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Finds clocks, time, and days of the week unusually hard to learn.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Symptom list (clock/time)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C-9</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Struggles with money — counting coins or working out change. (8–10)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Symptom list (calculating amounts)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Maths homework regularly ends in tears, anger, or avoidance.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affective; CLDQ math attitude</w:t>
            </w:r>
          </w:p>
        </w:tc>
      </w:tr>
    </w:tbl>
    <w:p>
      <w:pPr>
        <w:spacing w:after="120"/>
      </w:pPr>
      <w:r>
        <w:t xml:space="preserve">Ends with AI Task 3 — timed calculation game (Section 9).</w:t>
      </w:r>
    </w:p>
    <w:p>
      <w:pPr>
        <w:pStyle w:val="Heading1"/>
      </w:pPr>
      <w:r>
        <w:t xml:space="preserve">8. Module D — Attention (ADHD-linked patterns), 8 questions</w:t>
      </w:r>
    </w:p>
    <w:p>
      <w:pPr>
        <w:spacing w:after="120"/>
      </w:pPr>
      <w:r>
        <w:t xml:space="preserve">Included per the mentor’s direction that the tool should also catch attention-related learning difficulty. Items follow the common parent-rating domains (inattention/hyperactivity, as in Vanderbilt/SNAP-style scales) plus BCSLD behavioural items. A flag here routes to “talk to your doctor,” never to an SLD label — ADHD is formally a separate condition that often occurs alongside SLDs.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3200"/>
      </w:tblGrid>
      <w:tr>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Question (parent-facing wording)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Grounded 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D1</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Cannot sit through a 10-minute task — keeps getting up, even for things they enjoy.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18 (hyperactivity)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D2</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Is pulled away by every sound or movement while studying.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19 (reversed)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D3</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Loses everyday things — pencils, bottles, notebooks — again and again.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ADHD parent-scale domain (inattention)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Starts tasks with energy but almost never finishes them.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ADHD domain; BCSLD 6 (task shifting)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Needs instructions repeated several times before acting on them.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BCSLD 15, 25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D6</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Interrupts, blurts out answers, or acts without thinking.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ADHD domain (impulsivity)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D7</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Fidgets constantly — hands, feet, chair — even when trying to be still.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ADHD domain (hyperactivity)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Forgets daily routines (homework, bag, tiffin) even with reminders.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ADHD domain; BCSLD 13</w:t>
            </w:r>
          </w:p>
        </w:tc>
      </w:tr>
    </w:tbl>
    <w:p>
      <w:pPr>
        <w:pStyle w:val="Heading1"/>
      </w:pPr>
      <w:r>
        <w:t xml:space="preserve">9. The AI tasks — one per SLD (Phase 1 MVP)</w:t>
      </w:r>
    </w:p>
    <w:p>
      <w:pPr>
        <w:spacing w:after="120"/>
      </w:pPr>
      <w:r>
        <w:t xml:space="preserve">Questionnaire answers are subjective; these three tasks give each SLD one objective, machine-measured signal. Model approaches follow the AI/ML Components table in the mentor’s Project Note. All three run inside the existing website — no app or special hardware needed.</w:t>
      </w:r>
    </w:p>
    <w:p>
      <w:pPr>
        <w:pStyle w:val="Heading2"/>
      </w:pPr>
      <w:r>
        <w:t xml:space="preserve">AI Task 1 · Reading / dyslexia — timed read-aloud</w:t>
      </w:r>
    </w:p>
    <w:p>
      <w:pPr>
        <w:pStyle w:val="ListParagraph"/>
        <w:numPr>
          <w:ilvl w:val="0"/>
          <w:numId w:val="2"/>
        </w:numPr>
        <w:spacing w:after="60"/>
      </w:pPr>
      <w:r>
        <w:t xml:space="preserve">Child does: reads a short age-banded passage (~30–60 words) aloud while the phone records. One practice line first (calibration, per Project Note).</w:t>
      </w:r>
    </w:p>
    <w:p>
      <w:pPr>
        <w:pStyle w:val="ListParagraph"/>
        <w:numPr>
          <w:ilvl w:val="0"/>
          <w:numId w:val="2"/>
        </w:numPr>
        <w:spacing w:after="60"/>
      </w:pPr>
      <w:r>
        <w:t xml:space="preserve">Data captured: audio + total reading time.</w:t>
      </w:r>
    </w:p>
    <w:p>
      <w:pPr>
        <w:pStyle w:val="ListParagraph"/>
        <w:numPr>
          <w:ilvl w:val="0"/>
          <w:numId w:val="2"/>
        </w:numPr>
        <w:spacing w:after="60"/>
      </w:pPr>
      <w:r>
        <w:t xml:space="preserve">AI measures: speech-to-text plus alignment against the known passage → words correct per minute, long pauses, substitutions/skipped words, self-corrections; compared with age-band benchmarks. (Project Note: “Reading Fluency &amp; Phonological Processing”.)</w:t>
      </w:r>
    </w:p>
    <w:p>
      <w:pPr>
        <w:pStyle w:val="ListParagraph"/>
        <w:numPr>
          <w:ilvl w:val="0"/>
          <w:numId w:val="2"/>
        </w:numPr>
        <w:spacing w:after="60"/>
      </w:pPr>
      <w:r>
        <w:t xml:space="preserve">Web prototype: browser MediaRecorder captures audio; transcription via a speech-to-text API; the comparison and classification run through the AI layer. Reading time alone (JS timer) already gives a usable fluency signal on day one.</w:t>
      </w:r>
    </w:p>
    <w:p>
      <w:pPr>
        <w:pStyle w:val="Heading2"/>
      </w:pPr>
      <w:r>
        <w:t xml:space="preserve">AI Task 2 · Writing / dysgraphia — handwriting recognition</w:t>
      </w:r>
    </w:p>
    <w:p>
      <w:pPr>
        <w:pStyle w:val="ListParagraph"/>
        <w:numPr>
          <w:ilvl w:val="0"/>
          <w:numId w:val="2"/>
        </w:numPr>
        <w:spacing w:after="60"/>
      </w:pPr>
      <w:r>
        <w:t xml:space="preserve">Child does: copies two printed sentences on paper; parent photographs the page and uploads it. (8–10 also write one sentence from dictation.)</w:t>
      </w:r>
    </w:p>
    <w:p>
      <w:pPr>
        <w:pStyle w:val="ListParagraph"/>
        <w:numPr>
          <w:ilvl w:val="0"/>
          <w:numId w:val="2"/>
        </w:numPr>
        <w:spacing w:after="60"/>
      </w:pPr>
      <w:r>
        <w:t xml:space="preserve">Data captured: handwriting image.</w:t>
      </w:r>
    </w:p>
    <w:p>
      <w:pPr>
        <w:pStyle w:val="ListParagraph"/>
        <w:numPr>
          <w:ilvl w:val="0"/>
          <w:numId w:val="2"/>
        </w:numPr>
        <w:spacing w:after="60"/>
      </w:pPr>
      <w:r>
        <w:t xml:space="preserve">AI measures: vision model checks legibility share, letter reversals/mirroring, uneven size, line drift, spacing, omitted letters/matras. Research benchmark: more than 25% unreadable in a free sample is a strong dysgraphia indicator; 2025 AI frameworks automate exactly this. (Project Note: “Handwriting Analysis — CNN/vision model”.)</w:t>
      </w:r>
    </w:p>
    <w:p>
      <w:pPr>
        <w:pStyle w:val="ListParagraph"/>
        <w:numPr>
          <w:ilvl w:val="0"/>
          <w:numId w:val="2"/>
        </w:numPr>
        <w:spacing w:after="60"/>
      </w:pPr>
      <w:r>
        <w:t xml:space="preserve">Web prototype: file-upload input + vision-capable AI API call today; a fine-tuned child-handwriting model is the research upgrade later — and the data-collection/labeling need the Project Note flags.</w:t>
      </w:r>
    </w:p>
    <w:p>
      <w:pPr>
        <w:pStyle w:val="Heading2"/>
      </w:pPr>
      <w:r>
        <w:t xml:space="preserve">AI Task 3 · Maths / dyscalculia — timed calculation game</w:t>
      </w:r>
    </w:p>
    <w:p>
      <w:pPr>
        <w:pStyle w:val="ListParagraph"/>
        <w:numPr>
          <w:ilvl w:val="0"/>
          <w:numId w:val="2"/>
        </w:numPr>
        <w:spacing w:after="60"/>
      </w:pPr>
      <w:r>
        <w:t xml:space="preserve">Child does: five quick items on screen — 2 dot-comparisons (“which side has more?”) and 3 age-banded sums — each with a visible per-item timer.</w:t>
      </w:r>
    </w:p>
    <w:p>
      <w:pPr>
        <w:pStyle w:val="ListParagraph"/>
        <w:numPr>
          <w:ilvl w:val="0"/>
          <w:numId w:val="2"/>
        </w:numPr>
        <w:spacing w:after="60"/>
      </w:pPr>
      <w:r>
        <w:t xml:space="preserve">Data captured: answer + response time per item.</w:t>
      </w:r>
    </w:p>
    <w:p>
      <w:pPr>
        <w:pStyle w:val="ListParagraph"/>
        <w:numPr>
          <w:ilvl w:val="0"/>
          <w:numId w:val="2"/>
        </w:numPr>
        <w:spacing w:after="60"/>
      </w:pPr>
      <w:r>
        <w:t xml:space="preserve">AI measures: response-time distribution and error-type pattern (magnitude errors vs fact errors vs symbol confusion), against age norms. (Project Note: “Rule-based + ML hybrid: response time distributions, error-type classification”.)</w:t>
      </w:r>
    </w:p>
    <w:p>
      <w:pPr>
        <w:pStyle w:val="ListParagraph"/>
        <w:numPr>
          <w:ilvl w:val="0"/>
          <w:numId w:val="2"/>
        </w:numPr>
        <w:spacing w:after="60"/>
      </w:pPr>
      <w:r>
        <w:t xml:space="preserve">Web prototype: pure JavaScript timing and answers; the AI layer classifies the error pattern. Easiest of the three to ship.</w:t>
      </w:r>
    </w:p>
    <w:p>
      <w:pPr>
        <w:pStyle w:val="Heading2"/>
      </w:pPr>
      <w:r>
        <w:t xml:space="preserve">Optional · Attention — reaction-time tap game</w:t>
      </w:r>
    </w:p>
    <w:p>
      <w:pPr>
        <w:pStyle w:val="ListParagraph"/>
        <w:numPr>
          <w:ilvl w:val="0"/>
          <w:numId w:val="2"/>
        </w:numPr>
        <w:spacing w:after="60"/>
      </w:pPr>
      <w:r>
        <w:t xml:space="preserve">60-second go/no-go: tap the green animal, don’t tap the red one. Measures reaction-time variability and wrong taps (omission/commission errors) — the Project Note’s attention signals minus eye-tracking, which stays Phase 2.</w:t>
      </w:r>
    </w:p>
    <w:p>
      <w:pPr>
        <w:pStyle w:val="Heading1"/>
      </w:pPr>
      <w:r>
        <w:t xml:space="preserve">10. Scoring and where the AI fits</w:t>
      </w:r>
    </w:p>
    <w:p>
      <w:pPr>
        <w:spacing w:after="120"/>
      </w:pPr>
      <w:r>
        <w:t xml:space="preserve">Following the mentor’s hybrid design (rule-based backbone + AI on top):</w:t>
      </w:r>
    </w:p>
    <w:p>
      <w:pPr>
        <w:pStyle w:val="ListParagraph"/>
        <w:numPr>
          <w:ilvl w:val="0"/>
          <w:numId w:val="2"/>
        </w:numPr>
        <w:spacing w:after="60"/>
      </w:pPr>
      <w:r>
        <w:t xml:space="preserve">Each answer scores Often = 2, Sometimes = 1, Never = 0 (BCSLD’s scheme).</w:t>
      </w:r>
    </w:p>
    <w:p>
      <w:pPr>
        <w:pStyle w:val="ListParagraph"/>
        <w:numPr>
          <w:ilvl w:val="0"/>
          <w:numId w:val="2"/>
        </w:numPr>
        <w:spacing w:after="60"/>
      </w:pPr>
      <w:r>
        <w:t xml:space="preserve">Each module produces a percentage of its maximum. Proposed bands, to be tuned with the mentor: 60%+ = strong pattern; 40–59% = mild pattern, worth watching and retesting; below 40% = not indicated. (For comparison, BCSLD’s at-risk cutoff of 43/60 ≈ 72% of maximum.)</w:t>
      </w:r>
    </w:p>
    <w:p>
      <w:pPr>
        <w:pStyle w:val="ListParagraph"/>
        <w:numPr>
          <w:ilvl w:val="0"/>
          <w:numId w:val="2"/>
        </w:numPr>
        <w:spacing w:after="60"/>
      </w:pPr>
      <w:r>
        <w:t xml:space="preserve">Two or more strong modules = “mixed pattern”; reading + writing together is common and the result should say so calmly.</w:t>
      </w:r>
    </w:p>
    <w:p>
      <w:pPr>
        <w:pStyle w:val="ListParagraph"/>
        <w:numPr>
          <w:ilvl w:val="0"/>
          <w:numId w:val="2"/>
        </w:numPr>
        <w:spacing w:after="60"/>
      </w:pPr>
      <w:r>
        <w:t xml:space="preserve">The composite layer (Project Note: “ensemble/rules layer… interpretable risk profile, show contributing factors”): the AI model receives the module scores, item-level answers, and the three task outputs, cross-checks the pattern, and writes the strengths-first plain-language result with 3–5 doable next steps.</w:t>
      </w:r>
    </w:p>
    <w:p>
      <w:pPr>
        <w:pStyle w:val="ListParagraph"/>
        <w:numPr>
          <w:ilvl w:val="0"/>
          <w:numId w:val="2"/>
        </w:numPr>
        <w:spacing w:after="60"/>
      </w:pPr>
      <w:r>
        <w:t xml:space="preserve">Re-assessment after 8–12 weeks with a parallel version of the test, per the Project Note’s core loop; the result screen books this expectation (“check again after the exercises”).</w:t>
      </w:r>
    </w:p>
    <w:p>
      <w:pPr>
        <w:pStyle w:val="ListParagraph"/>
        <w:numPr>
          <w:ilvl w:val="0"/>
          <w:numId w:val="2"/>
        </w:numPr>
        <w:spacing w:after="60"/>
      </w:pPr>
      <w:r>
        <w:t xml:space="preserve">Language rules are unchanged and now stricter per the 4 July call: no disorder names anywhere before results; never “your child has…”, always “your child shows patterns often linked with…”; always the screening-not-diagnosis disclaimer and a referral path.</w:t>
      </w:r>
    </w:p>
    <w:p>
      <w:pPr>
        <w:pStyle w:val="Heading1"/>
      </w:pPr>
      <w:r>
        <w:t xml:space="preserve">11. Next design item — exercise engine (“Duolingo for learning difficulties”)</w:t>
      </w:r>
    </w:p>
    <w:p>
      <w:pPr>
        <w:spacing w:after="120"/>
      </w:pPr>
      <w:r>
        <w:t xml:space="preserve">Per the 4 July call and Project Note sections 7–8: after a flag, the app should serve a tagged exercise bank (by pattern, age, difficulty), parent-guided, with adaptive difficulty and simple streaks — then drive the 8–12-week retake. To be planned with Jaykumar and implementation mentor Disha; a first exercise list per SLD is the next document after this one.</w:t>
      </w:r>
    </w:p>
    <w:p>
      <w:pPr>
        <w:pStyle w:val="Heading1"/>
      </w:pPr>
      <w:r>
        <w:t xml:space="preserve">12. Open questions for the mentors</w:t>
      </w:r>
    </w:p>
    <w:p>
      <w:pPr>
        <w:pStyle w:val="ListParagraph"/>
        <w:numPr>
          <w:ilvl w:val="0"/>
          <w:numId w:val="2"/>
        </w:numPr>
        <w:spacing w:after="60"/>
      </w:pPr>
      <w:r>
        <w:t xml:space="preserve">Do the proposed scoring bands (60% / 40%) look right as a starting point, and how should we validate them — synthetic profiles, or a small pilot with a counsellor?</w:t>
      </w:r>
    </w:p>
    <w:p>
      <w:pPr>
        <w:pStyle w:val="ListParagraph"/>
        <w:numPr>
          <w:ilvl w:val="0"/>
          <w:numId w:val="2"/>
        </w:numPr>
        <w:spacing w:after="60"/>
      </w:pPr>
      <w:r>
        <w:t xml:space="preserve">Progress tracking needs stored results: parent-held code with on-device storage (privacy-light, matches the Project Note’s on-device preference and DPDP Act caution) or full accounts?</w:t>
      </w:r>
    </w:p>
    <w:p>
      <w:pPr>
        <w:pStyle w:val="ListParagraph"/>
        <w:numPr>
          <w:ilvl w:val="0"/>
          <w:numId w:val="2"/>
        </w:numPr>
        <w:spacing w:after="60"/>
      </w:pPr>
      <w:r>
        <w:t xml:space="preserve">For the Stage 2 dataset submission: child-handwriting datasets and child speech corpora as VALIDATION data for the task models — consistent with the Project Note’s requirement to validate against established psychometric tools. Confirm framing.</w:t>
      </w:r>
    </w:p>
    <w:p>
      <w:pPr>
        <w:pStyle w:val="ListParagraph"/>
        <w:numPr>
          <w:ilvl w:val="0"/>
          <w:numId w:val="2"/>
        </w:numPr>
        <w:spacing w:after="60"/>
      </w:pPr>
      <w:r>
        <w:t xml:space="preserve">Hindi item wording: adapt from DALI’s Hindi tools (with credit) or translate ours independently?</w:t>
      </w:r>
    </w:p>
    <w:p>
      <w:pPr>
        <w:pStyle w:val="ListParagraph"/>
        <w:numPr>
          <w:ilvl w:val="0"/>
          <w:numId w:val="2"/>
        </w:numPr>
        <w:spacing w:after="60"/>
      </w:pPr>
      <w:r>
        <w:t xml:space="preserve">Attention module: keep inside the main silent flow, or offer after the SLD result?</w:t>
      </w:r>
    </w:p>
    <w:p>
      <w:pPr>
        <w:pStyle w:val="Heading1"/>
      </w:pPr>
      <w:r>
        <w:t xml:space="preserve">13. References</w:t>
      </w:r>
    </w:p>
    <w:p>
      <w:pPr>
        <w:pStyle w:val="ListParagraph"/>
        <w:numPr>
          <w:ilvl w:val="0"/>
          <w:numId w:val="2"/>
        </w:numPr>
        <w:spacing w:after="60"/>
      </w:pPr>
      <w:r>
        <w:t xml:space="preserve">Swarup, S. &amp; Mehta, D. — Behavioural Checklist for Screening the Learning Disabled (BCSLD), 30-item Indian teacher checklist; scoring and 43-point cutoff per SensAble Child summary (shared PDF).</w:t>
      </w:r>
    </w:p>
    <w:p>
      <w:pPr>
        <w:pStyle w:val="ListParagraph"/>
        <w:numPr>
          <w:ilvl w:val="0"/>
          <w:numId w:val="2"/>
        </w:numPr>
        <w:spacing w:after="60"/>
      </w:pPr>
      <w:r>
        <w:t xml:space="preserve">Specific Learning Disability – Screening Questionnaire (SLD-SQ), 12-item screener (shared PDF).</w:t>
      </w:r>
    </w:p>
    <w:p>
      <w:pPr>
        <w:pStyle w:val="ListParagraph"/>
        <w:numPr>
          <w:ilvl w:val="0"/>
          <w:numId w:val="2"/>
        </w:numPr>
        <w:spacing w:after="60"/>
      </w:pPr>
      <w:r>
        <w:t xml:space="preserve">Assessment of Learning Disability — overview notes: IDEA (2004) definition, SLD symptom lists, WISC-IV, DST, Aston Index, WRAT, Woodcock-Johnson, Indian diagnostic tests (shared PDF).</w:t>
      </w:r>
    </w:p>
    <w:p>
      <w:pPr>
        <w:pStyle w:val="ListParagraph"/>
        <w:numPr>
          <w:ilvl w:val="0"/>
          <w:numId w:val="2"/>
        </w:numPr>
        <w:spacing w:after="60"/>
      </w:pPr>
      <w:r>
        <w:t xml:space="preserve">Willcutt, E. G. et al. (2011). Colorado Learning Difficulties Questionnaire: Validation of a parent-report screening measure. Psychological Assessment, 23(3).</w:t>
      </w:r>
    </w:p>
    <w:p>
      <w:pPr>
        <w:pStyle w:val="ListParagraph"/>
        <w:numPr>
          <w:ilvl w:val="0"/>
          <w:numId w:val="2"/>
        </w:numPr>
        <w:spacing w:after="60"/>
      </w:pPr>
      <w:r>
        <w:t xml:space="preserve">DALI — Dyslexia Assessment for Languages of India, National Brain Research Centre / UNESCO MGIEP; Junior (classes 1–2) and Middle (classes 3–5) screening tools; DALI-DAB standardisation (2021).</w:t>
      </w:r>
    </w:p>
    <w:p>
      <w:pPr>
        <w:pStyle w:val="ListParagraph"/>
        <w:numPr>
          <w:ilvl w:val="0"/>
          <w:numId w:val="2"/>
        </w:numPr>
        <w:spacing w:after="60"/>
      </w:pPr>
      <w:r>
        <w:t xml:space="preserve">Shaywitz DyslexiaScreen, Pearson — K–3 ten-item rating form.</w:t>
      </w:r>
    </w:p>
    <w:p>
      <w:pPr>
        <w:pStyle w:val="ListParagraph"/>
        <w:numPr>
          <w:ilvl w:val="0"/>
          <w:numId w:val="2"/>
        </w:numPr>
        <w:spacing w:after="60"/>
      </w:pPr>
      <w:r>
        <w:t xml:space="preserve">American Psychiatric Association, DSM-5 — Specific Learning Disorder criteria (impairment in reading, written expression, mathematics).</w:t>
      </w:r>
    </w:p>
    <w:p>
      <w:pPr>
        <w:pStyle w:val="ListParagraph"/>
        <w:numPr>
          <w:ilvl w:val="0"/>
          <w:numId w:val="2"/>
        </w:numPr>
        <w:spacing w:after="60"/>
      </w:pPr>
      <w:r>
        <w:t xml:space="preserve">AI-Enhanced Child Handwriting Analysis: A Framework for the Early Screening of Dyslexia and Dysgraphia, SN Computer Science (2025).</w:t>
      </w:r>
    </w:p>
    <w:p>
      <w:pPr>
        <w:pStyle w:val="ListParagraph"/>
        <w:numPr>
          <w:ilvl w:val="0"/>
          <w:numId w:val="2"/>
        </w:numPr>
        <w:spacing w:after="60"/>
      </w:pPr>
      <w:r>
        <w:t xml:space="preserve">Mentor Project Note — “AI-Powered Learning Disability Screening &amp; Intervention App” (J. Patel, July 2026): module/AI-components tables, phased roadmap, privacy requirements.</w:t>
      </w:r>
    </w:p>
    <w:p>
      <w:pPr>
        <w:pStyle w:val="ListParagraph"/>
        <w:numPr>
          <w:ilvl w:val="0"/>
          <w:numId w:val="2"/>
        </w:numPr>
        <w:spacing w:after="60"/>
      </w:pPr>
      <w:r>
        <w:t xml:space="preserve">Mentor calls, 3–4 July 2026: hybrid rule-based + AI scoring; general unbiased test flow; exercise engine and 8–12-week re-assessment loop.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F5E5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2026-07-04T05:41:45.380Z</dcterms:created>
  <dcterms:modified xsi:type="dcterms:W3CDTF">2026-07-04T05:41:45.381Z</dcterms:modified>
</cp:coreProperties>
</file>

<file path=docProps/custom.xml><?xml version="1.0" encoding="utf-8"?>
<Properties xmlns="http://schemas.openxmlformats.org/officeDocument/2006/custom-properties" xmlns:vt="http://schemas.openxmlformats.org/officeDocument/2006/docPropsVTypes"/>
</file>