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Weekly Report — Irvin</w:t>
      </w:r>
    </w:p>
    <w:p>
      <w:r>
        <w:rPr>
          <w:sz w:val="20"/>
        </w:rPr>
        <w:t xml:space="preserve">Github repo: </w:t>
      </w:r>
      <w:hyperlink r:id="rId9">
        <w:r>
          <w:rPr>
            <w:color w:val="1155CC"/>
            <w:u w:val="single"/>
            <w:sz w:val="18"/>
          </w:rPr>
          <w:t>https://github.com/dakshkashyap/financial-audit-capstone</w:t>
        </w:r>
      </w:hyperlink>
    </w:p>
    <w:p>
      <w:pPr>
        <w:spacing w:before="280"/>
      </w:pPr>
      <w:r>
        <w:rPr>
          <w:b/>
          <w:sz w:val="26"/>
        </w:rPr>
        <w:t>Month of May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Week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Meeting minutes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Description of work done during the week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Week 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May 15, 2026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Shared my reading of the professor's paper and where I thought the biggest gap was</w:t>
            </w:r>
          </w:p>
        </w:tc>
        <w:tc>
          <w:tcPr>
            <w:tcW w:type="dxa" w:w="5760"/>
          </w:tcPr>
          <w:p>
            <w:pPr>
              <w:spacing w:after="80" w:before="0"/>
            </w:pPr>
            <w:r/>
            <w:r>
              <w:rPr>
                <w:sz w:val="18"/>
              </w:rPr>
              <w:t xml:space="preserve">Read and analyzed </w:t>
            </w:r>
            <w:r>
              <w:rPr>
                <w:b/>
                <w:sz w:val="18"/>
              </w:rPr>
              <w:t>Automating Financial Statement Audits with Large Language Models</w:t>
            </w:r>
            <w:r>
              <w:rPr>
                <w:sz w:val="18"/>
              </w:rPr>
              <w:t xml:space="preserve"> (AuditBench, arXiv:2506.17282), the paper provided by the professor</w:t>
            </w:r>
          </w:p>
          <w:p>
            <w:pPr>
              <w:spacing w:after="80" w:before="0"/>
            </w:pPr>
            <w:r>
              <w:rPr>
                <w:sz w:val="18"/>
              </w:rPr>
              <w:t>Focused on the weakest reported result — citing the correct accounting standard — and argued it is a design problem rather than a model problem, since the model is recalling rule numbers from memory instead of looking them up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Week 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May 22, 2026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Group discussion on dataset collection and the planned meeting with the RBC Borealis engineer on their financial model ATOM</w:t>
            </w:r>
          </w:p>
        </w:tc>
        <w:tc>
          <w:tcPr>
            <w:tcW w:type="dxa" w:w="5760"/>
          </w:tcPr>
          <w:p>
            <w:pPr>
              <w:spacing w:after="80" w:before="0"/>
            </w:pPr>
            <w:r/>
            <w:r>
              <w:rPr>
                <w:sz w:val="18"/>
              </w:rPr>
              <w:t>Researched related work in the LLM financial auditing space and the data sources available for real filings (SEC EDGAR)</w:t>
            </w:r>
          </w:p>
          <w:p>
            <w:pPr>
              <w:spacing w:after="80" w:before="0"/>
            </w:pPr>
            <w:r>
              <w:rPr>
                <w:sz w:val="18"/>
              </w:rPr>
              <w:t>Set up local environment and repo access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Week 3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May 29, 2026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760"/>
          </w:tcPr>
          <w:p>
            <w:pPr>
              <w:spacing w:after="80" w:before="0"/>
            </w:pPr>
            <w:r/>
            <w:r>
              <w:rPr>
                <w:sz w:val="18"/>
              </w:rPr>
              <w:t>Studied retrieval-based and knowledge-graph approaches as a way to ground citations in an authoritative source instead of model memory</w:t>
            </w:r>
          </w:p>
        </w:tc>
      </w:tr>
    </w:tbl>
    <w:p>
      <w:pPr>
        <w:spacing w:before="280"/>
      </w:pPr>
      <w:r>
        <w:rPr>
          <w:b/>
          <w:sz w:val="26"/>
        </w:rPr>
        <w:t>Month of June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Week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Meeting minutes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Description of work done during the week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Week 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Jun 5, 2026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Met with Mohsen on Jun 4th</w:t>
            </w:r>
          </w:p>
        </w:tc>
        <w:tc>
          <w:tcPr>
            <w:tcW w:type="dxa" w:w="5760"/>
          </w:tcPr>
          <w:p>
            <w:pPr>
              <w:spacing w:after="80" w:before="0"/>
            </w:pPr>
            <w:r/>
            <w:r>
              <w:rPr>
                <w:sz w:val="18"/>
              </w:rPr>
              <w:t>Reviewed the AuditBench replication the team had produced and agreed to take the label-to-concept mapping stage (Stage 1)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Week 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Jun 12, 2026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760"/>
          </w:tcPr>
          <w:p>
            <w:pPr>
              <w:spacing w:after="80" w:before="0"/>
            </w:pPr>
            <w:r/>
            <w:r>
              <w:rPr>
                <w:sz w:val="18"/>
              </w:rPr>
              <w:t>Studied how the baseline pipeline scores citations, and where an XBRL concept lookup could replace free-text generation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Week 3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Jun 19, 2026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760"/>
          </w:tcPr>
          <w:p>
            <w:pPr>
              <w:spacing w:after="80" w:before="0"/>
            </w:pPr>
            <w:r/>
            <w:r>
              <w:rPr>
                <w:sz w:val="18"/>
              </w:rPr>
              <w:t>Designed the Stage 1 approach: map each statement line-item label to its official XBRL concept so downstream citation lookup has a grounded key to work from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Week 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Jun 26, 2026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Took ownership of Stage 1 (label to XBRL concept mapping)</w:t>
            </w:r>
          </w:p>
        </w:tc>
        <w:tc>
          <w:tcPr>
            <w:tcW w:type="dxa" w:w="5760"/>
          </w:tcPr>
          <w:p>
            <w:pPr>
              <w:spacing w:after="80" w:before="0"/>
            </w:pPr>
            <w:r/>
            <w:r>
              <w:rPr>
                <w:sz w:val="18"/>
              </w:rPr>
              <w:t xml:space="preserve">Built the EDGAR Mapper for Stage 1: maps a financial statement line-item label to its official XBRL concept, with an evaluation harness to score it </w:t>
            </w:r>
            <w:hyperlink r:id="rId10">
              <w:r>
                <w:rPr>
                  <w:color w:val="1155CC"/>
                  <w:u w:val="single"/>
                  <w:sz w:val="18"/>
                </w:rPr>
                <w:t>d2a1cb3</w:t>
              </w:r>
            </w:hyperlink>
          </w:p>
          <w:p>
            <w:pPr>
              <w:spacing w:after="80" w:before="0"/>
            </w:pPr>
            <w:r>
              <w:rPr>
                <w:sz w:val="18"/>
              </w:rPr>
              <w:t xml:space="preserve">Fixed statement-type inference so error splits without a Sheet_type field are classified from content instead </w:t>
            </w:r>
            <w:hyperlink r:id="rId11">
              <w:r>
                <w:rPr>
                  <w:color w:val="1155CC"/>
                  <w:u w:val="single"/>
                  <w:sz w:val="18"/>
                </w:rPr>
                <w:t>0d34c06</w:t>
              </w:r>
            </w:hyperlink>
          </w:p>
          <w:p>
            <w:pPr>
              <w:spacing w:after="80" w:before="0"/>
            </w:pPr>
            <w:r>
              <w:rPr>
                <w:sz w:val="18"/>
              </w:rPr>
              <w:t xml:space="preserve">Wrote full Stage 1 documentation covering the pipeline, file breakdown, eval results, and integration with Manish's stage </w:t>
            </w:r>
            <w:hyperlink r:id="rId12">
              <w:r>
                <w:rPr>
                  <w:color w:val="1155CC"/>
                  <w:u w:val="single"/>
                  <w:sz w:val="18"/>
                </w:rPr>
                <w:t>dc48d61</w:t>
              </w:r>
            </w:hyperlink>
          </w:p>
        </w:tc>
      </w:tr>
    </w:tbl>
    <w:p>
      <w:pPr>
        <w:spacing w:before="280"/>
      </w:pPr>
      <w:r>
        <w:rPr>
          <w:b/>
          <w:sz w:val="26"/>
        </w:rPr>
        <w:t>Month of July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Week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Meeting minutes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Description of work done during the week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Week 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Jul 3, 2026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Shared my written research analysis with the team</w:t>
            </w:r>
          </w:p>
        </w:tc>
        <w:tc>
          <w:tcPr>
            <w:tcW w:type="dxa" w:w="5760"/>
          </w:tcPr>
          <w:p>
            <w:pPr>
              <w:spacing w:after="80" w:before="0"/>
            </w:pPr>
            <w:r/>
            <w:r>
              <w:rPr>
                <w:sz w:val="18"/>
              </w:rPr>
              <w:t xml:space="preserve">Wrote RESEARCH_ANALYSIS.md, a professor-facing comparison of three papers against our approach: </w:t>
            </w:r>
            <w:r>
              <w:rPr>
                <w:b/>
                <w:sz w:val="18"/>
              </w:rPr>
              <w:t>AuditBench</w:t>
            </w:r>
            <w:r>
              <w:rPr>
                <w:sz w:val="18"/>
              </w:rPr>
              <w:t xml:space="preserve"> (arXiv:2506.17282), </w:t>
            </w:r>
            <w:r>
              <w:rPr>
                <w:b/>
                <w:sz w:val="18"/>
              </w:rPr>
              <w:t>FinAuditing</w:t>
            </w:r>
            <w:r>
              <w:rPr>
                <w:sz w:val="18"/>
              </w:rPr>
              <w:t xml:space="preserve"> (arXiv:2510.08886) and </w:t>
            </w:r>
            <w:r>
              <w:rPr>
                <w:b/>
                <w:sz w:val="18"/>
              </w:rPr>
              <w:t>AuditFlow</w:t>
            </w:r>
            <w:r>
              <w:rPr>
                <w:sz w:val="18"/>
              </w:rPr>
              <w:t xml:space="preserve"> (arXiv:2606.03031) </w:t>
            </w:r>
            <w:hyperlink r:id="rId13">
              <w:r>
                <w:rPr>
                  <w:color w:val="1155CC"/>
                  <w:u w:val="single"/>
                  <w:sz w:val="18"/>
                </w:rPr>
                <w:t>7622f73</w:t>
              </w:r>
            </w:hyperlink>
          </w:p>
          <w:p>
            <w:pPr>
              <w:spacing w:after="80" w:before="0"/>
            </w:pPr>
            <w:r>
              <w:rPr>
                <w:sz w:val="18"/>
              </w:rPr>
              <w:t>Key takeaway carried into our design: AuditFlow's principle of separating LLM-guided search from deterministic verification, and FinAuditing's use of real XBRL filings with rule-based labels instead of model-written ones</w:t>
            </w:r>
          </w:p>
          <w:p>
            <w:pPr>
              <w:spacing w:after="80" w:before="0"/>
            </w:pPr>
            <w:r>
              <w:rPr>
                <w:sz w:val="18"/>
              </w:rPr>
              <w:t>Documented the gaps in our own architecture alongside the comparison rather than only the strengths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Week 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Jul 10, 2026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760"/>
          </w:tcPr>
          <w:p>
            <w:pPr>
              <w:spacing w:after="80" w:before="0"/>
            </w:pPr>
            <w:r/>
            <w:r>
              <w:rPr>
                <w:sz w:val="18"/>
              </w:rPr>
              <w:t xml:space="preserve">Designed the </w:t>
            </w:r>
            <w:r>
              <w:rPr>
                <w:b/>
                <w:sz w:val="18"/>
              </w:rPr>
              <w:t>Taxonomy Knowledge Agent</w:t>
            </w:r>
            <w:r>
              <w:rPr>
                <w:sz w:val="18"/>
              </w:rPr>
              <w:t xml:space="preserve">: an MCP server wrapping the FASB US-GAAP taxonomy graph so any agent in the pipeline can look up accounting rules through tools and never generate a citation from memory </w:t>
            </w:r>
            <w:hyperlink r:id="rId14">
              <w:r>
                <w:rPr>
                  <w:color w:val="1155CC"/>
                  <w:u w:val="single"/>
                  <w:sz w:val="18"/>
                </w:rPr>
                <w:t>8fd7d87</w:t>
              </w:r>
            </w:hyperlink>
          </w:p>
          <w:p>
            <w:pPr>
              <w:spacing w:after="80" w:before="0"/>
            </w:pPr>
            <w:r>
              <w:rPr>
                <w:sz w:val="18"/>
              </w:rPr>
              <w:t xml:space="preserve">Wrote the next-phase architecture plan adapting AuditFlow's verification principle — agents share a central MCP server holding the verified evidence and cannot bypass the tools </w:t>
            </w:r>
            <w:hyperlink r:id="rId15">
              <w:r>
                <w:rPr>
                  <w:color w:val="1155CC"/>
                  <w:u w:val="single"/>
                  <w:sz w:val="18"/>
                </w:rPr>
                <w:t>b848a8b</w:t>
              </w:r>
            </w:hyperlink>
          </w:p>
          <w:p>
            <w:pPr>
              <w:spacing w:after="80" w:before="0"/>
            </w:pPr>
            <w:r>
              <w:rPr>
                <w:sz w:val="18"/>
              </w:rPr>
              <w:t xml:space="preserve">Documented how state is stored and shared across MCP tool calls </w:t>
            </w:r>
            <w:hyperlink r:id="rId16">
              <w:r>
                <w:rPr>
                  <w:color w:val="1155CC"/>
                  <w:u w:val="single"/>
                  <w:sz w:val="18"/>
                </w:rPr>
                <w:t>04d3f71</w:t>
              </w:r>
            </w:hyperlink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Week 3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Jul 17, 2026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760"/>
          </w:tcPr>
          <w:p>
            <w:pPr>
              <w:spacing w:after="80" w:before="0"/>
            </w:pPr>
            <w:r/>
            <w:r>
              <w:rPr>
                <w:sz w:val="18"/>
              </w:rPr>
              <w:t xml:space="preserve">Released EDGAR Mapper v2 with its documentation and dataset links </w:t>
            </w:r>
            <w:hyperlink r:id="rId17">
              <w:r>
                <w:rPr>
                  <w:color w:val="1155CC"/>
                  <w:u w:val="single"/>
                  <w:sz w:val="18"/>
                </w:rPr>
                <w:t>591e5d7</w:t>
              </w:r>
            </w:hyperlink>
          </w:p>
          <w:p>
            <w:pPr>
              <w:spacing w:after="80" w:before="0"/>
            </w:pPr>
            <w:r>
              <w:rPr>
                <w:sz w:val="18"/>
              </w:rPr>
              <w:t xml:space="preserve">Updated the July meeting notes and the taxonomy MCP agent design </w:t>
            </w:r>
            <w:hyperlink r:id="rId18">
              <w:r>
                <w:rPr>
                  <w:color w:val="1155CC"/>
                  <w:u w:val="single"/>
                  <w:sz w:val="18"/>
                </w:rPr>
                <w:t>e11f3a2</w:t>
              </w:r>
            </w:hyperlink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Week 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Jul 24, 2026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760"/>
          </w:tcPr>
          <w:p>
            <w:pPr>
              <w:spacing w:after="80" w:before="0"/>
            </w:pPr>
            <w:r/>
            <w:r>
              <w:rPr>
                <w:sz w:val="18"/>
              </w:rPr>
              <w:t xml:space="preserve">Analyzed the FinMR benchmark and how its DQC-rule violations provide root-cause ground truth — a reported value and a calculated value per violation, rather than a pass/fail label </w:t>
            </w:r>
            <w:hyperlink r:id="rId19">
              <w:r>
                <w:rPr>
                  <w:color w:val="1155CC"/>
                  <w:u w:val="single"/>
                  <w:sz w:val="18"/>
                </w:rPr>
                <w:t>afa52aa</w:t>
              </w:r>
            </w:hyperlink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Week 5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Jul 31, 2026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Proposed using an MCP server with an AI agent for the citation stage, and how to define "works better"</w:t>
            </w:r>
          </w:p>
        </w:tc>
        <w:tc>
          <w:tcPr>
            <w:tcW w:type="dxa" w:w="5760"/>
          </w:tcPr>
          <w:p>
            <w:pPr>
              <w:spacing w:after="80" w:before="0"/>
            </w:pPr>
            <w:r/>
            <w:r>
              <w:rPr>
                <w:sz w:val="18"/>
              </w:rPr>
              <w:t xml:space="preserve">Built a SEC EDGAR XBRL client to pull real company facts directly from the SEC API, no API key required </w:t>
            </w:r>
            <w:hyperlink r:id="rId20">
              <w:r>
                <w:rPr>
                  <w:color w:val="1155CC"/>
                  <w:u w:val="single"/>
                  <w:sz w:val="18"/>
                </w:rPr>
                <w:t>a0e8de7</w:t>
              </w:r>
            </w:hyperlink>
          </w:p>
          <w:p>
            <w:pPr>
              <w:spacing w:after="80" w:before="0"/>
            </w:pPr>
            <w:r>
              <w:rPr>
                <w:b/>
                <w:sz w:val="18"/>
              </w:rPr>
              <w:t xml:space="preserve">Built the Citation MCP agent: </w:t>
            </w:r>
            <w:r>
              <w:rPr>
                <w:sz w:val="18"/>
              </w:rPr>
              <w:t xml:space="preserve">wrapped the TaxonomyGraph in an MCP server exposing get_candidates, validate_citation, get_concept_info and store_pick, so an AI agent can only choose from real taxonomy-grounded citations instead of generating them from memory </w:t>
            </w:r>
            <w:hyperlink r:id="rId21">
              <w:r>
                <w:rPr>
                  <w:color w:val="1155CC"/>
                  <w:u w:val="single"/>
                  <w:sz w:val="18"/>
                </w:rPr>
                <w:t>6a353c5</w:t>
              </w:r>
            </w:hyperlink>
          </w:p>
          <w:p>
            <w:pPr>
              <w:spacing w:after="80" w:before="0"/>
            </w:pPr>
            <w:r>
              <w:rPr>
                <w:sz w:val="18"/>
              </w:rPr>
              <w:t xml:space="preserve">Wrote a Current vs Proposed architecture brief with diagrams for the professor, plus a diagram-first walkthrough of the TaxonomyGraph and MCP flow </w:t>
            </w:r>
            <w:hyperlink r:id="rId22">
              <w:r>
                <w:rPr>
                  <w:color w:val="1155CC"/>
                  <w:u w:val="single"/>
                  <w:sz w:val="18"/>
                </w:rPr>
                <w:t>5de40e4</w:t>
              </w:r>
            </w:hyperlink>
            <w:r>
              <w:rPr>
                <w:sz w:val="18"/>
              </w:rPr>
              <w:t xml:space="preserve">  </w:t>
            </w:r>
            <w:hyperlink r:id="rId23">
              <w:r>
                <w:rPr>
                  <w:color w:val="1155CC"/>
                  <w:u w:val="single"/>
                  <w:sz w:val="18"/>
                </w:rPr>
                <w:t>34b28de</w:t>
              </w:r>
            </w:hyperlink>
          </w:p>
          <w:p>
            <w:pPr>
              <w:spacing w:after="80" w:before="0"/>
            </w:pPr>
            <w:r>
              <w:rPr>
                <w:sz w:val="18"/>
              </w:rPr>
              <w:t xml:space="preserve">Wired up Claude Haiku 4.5 and ran the citation experiment across three conditions — lookup only, AI tool-locked, and an oracle ceiling — on 42 items. Result: </w:t>
            </w:r>
            <w:r>
              <w:rPr>
                <w:b/>
                <w:sz w:val="18"/>
              </w:rPr>
              <w:t>0 invented citations</w:t>
            </w:r>
            <w:r>
              <w:rPr>
                <w:sz w:val="18"/>
              </w:rPr>
              <w:t xml:space="preserve">, 100% of accepted answers verified against the taxonomy, with a written rationale per pick </w:t>
            </w:r>
            <w:hyperlink r:id="rId24">
              <w:r>
                <w:rPr>
                  <w:color w:val="1155CC"/>
                  <w:u w:val="single"/>
                  <w:sz w:val="18"/>
                </w:rPr>
                <w:t>889922b</w:t>
              </w:r>
            </w:hyperlink>
          </w:p>
        </w:tc>
      </w:tr>
    </w:tbl>
    <w:p>
      <w:pPr>
        <w:spacing w:before="280"/>
      </w:pPr>
      <w:r>
        <w:rPr>
          <w:b/>
          <w:sz w:val="26"/>
        </w:rPr>
        <w:t>Month of August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Week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Meeting minutes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Description of work done during the week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Week 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Aug 7, 2026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Presented the AuditPatch pipeline and the three deliverables: explainability, clear methodology, root-cause ground truth</w:t>
            </w:r>
          </w:p>
        </w:tc>
        <w:tc>
          <w:tcPr>
            <w:tcW w:type="dxa" w:w="5760"/>
          </w:tcPr>
          <w:p>
            <w:pPr>
              <w:spacing w:after="80" w:before="0"/>
            </w:pPr>
            <w:r/>
            <w:r>
              <w:rPr>
                <w:b/>
                <w:sz w:val="18"/>
              </w:rPr>
              <w:t xml:space="preserve">Built the AuditPatch repair pipeline on FinMR: </w:t>
            </w:r>
            <w:r>
              <w:rPr>
                <w:sz w:val="18"/>
              </w:rPr>
              <w:t xml:space="preserve">detect the rule violation, localize the single fact that caused it, generate a minimal one-value repair, revalidate the whole filing, attach a taxonomy-grounded ASC citation, and emit a machine-checkable certificate </w:t>
            </w:r>
            <w:hyperlink r:id="rId25">
              <w:r>
                <w:rPr>
                  <w:color w:val="1155CC"/>
                  <w:u w:val="single"/>
                  <w:sz w:val="18"/>
                </w:rPr>
                <w:t>7c43575</w:t>
              </w:r>
            </w:hyperlink>
          </w:p>
          <w:p>
            <w:pPr>
              <w:spacing w:after="80" w:before="0"/>
            </w:pPr>
            <w:r>
              <w:rPr>
                <w:sz w:val="18"/>
              </w:rPr>
              <w:t xml:space="preserve">Ran it on all </w:t>
            </w:r>
            <w:r>
              <w:rPr>
                <w:b/>
                <w:sz w:val="18"/>
              </w:rPr>
              <w:t>332 real SEC filings</w:t>
            </w:r>
            <w:r>
              <w:rPr>
                <w:sz w:val="18"/>
              </w:rPr>
              <w:t xml:space="preserve"> in FinMR: 178 repairs proposed, </w:t>
            </w:r>
            <w:r>
              <w:rPr>
                <w:b/>
                <w:sz w:val="18"/>
              </w:rPr>
              <w:t>145 exactly matched ground truth (81.5%)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0 regressions</w:t>
            </w:r>
            <w:r>
              <w:rPr>
                <w:sz w:val="18"/>
              </w:rPr>
              <w:t>, 1 value changed per repair, 93% carrying a verified citation</w:t>
            </w:r>
          </w:p>
          <w:p>
            <w:pPr>
              <w:spacing w:after="80" w:before="0"/>
            </w:pPr>
            <w:r>
              <w:rPr>
                <w:sz w:val="18"/>
              </w:rPr>
              <w:t xml:space="preserve">Wrote a professor brief tying the results to the three deliverables </w:t>
            </w:r>
            <w:hyperlink r:id="rId26">
              <w:r>
                <w:rPr>
                  <w:color w:val="1155CC"/>
                  <w:u w:val="single"/>
                  <w:sz w:val="18"/>
                </w:rPr>
                <w:t>666bf62</w:t>
              </w:r>
            </w:hyperlink>
            <w:r>
              <w:rPr>
                <w:sz w:val="18"/>
              </w:rPr>
              <w:t xml:space="preserve"> and a beginner-friendly presentation walkthrough </w:t>
            </w:r>
            <w:hyperlink r:id="rId27">
              <w:r>
                <w:rPr>
                  <w:color w:val="1155CC"/>
                  <w:u w:val="single"/>
                  <w:sz w:val="18"/>
                </w:rPr>
                <w:t>6ee78aa</w:t>
              </w:r>
            </w:hyperlink>
          </w:p>
          <w:p>
            <w:pPr>
              <w:spacing w:after="80" w:before="0"/>
            </w:pPr>
            <w:r>
              <w:rPr>
                <w:sz w:val="18"/>
              </w:rPr>
              <w:t xml:space="preserve">Documented the LLM explainability experiment in the presentation, including the honest finding that tool-locking removed hallucination but accuracy stayed capped at the 26.2% candidate-list ceiling </w:t>
            </w:r>
            <w:hyperlink r:id="rId28">
              <w:r>
                <w:rPr>
                  <w:color w:val="1155CC"/>
                  <w:u w:val="single"/>
                  <w:sz w:val="18"/>
                </w:rPr>
                <w:t>ba87b20</w:t>
              </w:r>
            </w:hyperlink>
          </w:p>
          <w:p>
            <w:pPr>
              <w:spacing w:after="80" w:before="0"/>
            </w:pPr>
            <w:r>
              <w:rPr>
                <w:sz w:val="18"/>
              </w:rPr>
              <w:t xml:space="preserve">Added a short architecture deck framing the six-stage pipeline as the settled contribution, with each stage's method as the part we iterate on </w:t>
            </w:r>
            <w:hyperlink r:id="rId29">
              <w:r>
                <w:rPr>
                  <w:color w:val="1155CC"/>
                  <w:u w:val="single"/>
                  <w:sz w:val="18"/>
                </w:rPr>
                <w:t>141a697</w:t>
              </w:r>
            </w:hyperlink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Week 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Aug 14, 2026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Meeting cancelled due to unavailability. Met with Mohsen as a group on Aug 13th to share the overall progress and next steps</w:t>
            </w:r>
          </w:p>
        </w:tc>
        <w:tc>
          <w:tcPr>
            <w:tcW w:type="dxa" w:w="5760"/>
          </w:tcPr>
          <w:p>
            <w:pPr>
              <w:spacing w:after="80" w:before="0"/>
            </w:pPr>
            <w:r/>
            <w:r>
              <w:rPr>
                <w:sz w:val="18"/>
              </w:rPr>
              <w:t>Prepared for final exams for other courses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Week 3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Aug 21, 2026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760"/>
          </w:tcPr>
          <w:p>
            <w:pPr>
              <w:spacing w:after="80" w:before="0"/>
            </w:pPr>
            <w:r/>
            <w:r>
              <w:rPr>
                <w:sz w:val="18"/>
              </w:rPr>
              <w:t>Related-work review of models fine-tuned for audit and XBRL — AuditWen, FinLoRA, RKEFino1, FinTag, XBRL-Agent — to position our contribution. Finding: existing work reads and tags filings; none localize a root cause, propose a minimal repair, or revalidate it. XBRL-Agent (ICAIF 2024) is the closest precedent for our tool-grounding argument</w:t>
            </w:r>
          </w:p>
          <w:p>
            <w:pPr>
              <w:spacing w:after="80" w:before="0"/>
            </w:pPr>
            <w:r>
              <w:rPr>
                <w:sz w:val="18"/>
              </w:rPr>
              <w:t>Drafted an evaluation plan for the explanation layer: automatic faithfulness checks on every generated explanation, a reconstruction test as a proxy for usefulness, counterfactual sensitivity, and ablations across no-tools / tools / tools-plus-validation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Week 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Aug 28, 2026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760"/>
          </w:tcPr>
          <w:p>
            <w:pPr>
              <w:spacing w:after="80" w:before="0"/>
            </w:pPr>
            <w:r/>
            <w:r>
              <w:rPr>
                <w:sz w:val="18"/>
              </w:rPr>
            </w:r>
          </w:p>
        </w:tc>
      </w:tr>
    </w:tbl>
    <w:p>
      <w:r>
        <w:br w:type="page"/>
      </w:r>
    </w:p>
    <w:p>
      <w:r>
        <w:rPr>
          <w:b/>
          <w:sz w:val="26"/>
        </w:rPr>
        <w:t>Summary of contributions</w:t>
      </w:r>
    </w:p>
    <w:p>
      <w:pPr>
        <w:spacing w:after="120"/>
      </w:pPr>
      <w:r>
        <w:rPr>
          <w:b/>
        </w:rPr>
        <w:t>Stage 1 — EDGAR Mapper.</w:t>
      </w:r>
      <w:r>
        <w:t xml:space="preserve"> Label-to-XBRL-concept mapper with its own evaluation harness and documentation.</w:t>
      </w:r>
    </w:p>
    <w:p>
      <w:pPr>
        <w:spacing w:after="120"/>
      </w:pPr>
      <w:r>
        <w:rPr>
          <w:b/>
        </w:rPr>
        <w:t>Citation MCP agent.</w:t>
      </w:r>
      <w:r>
        <w:t xml:space="preserve"> Wrapped the FASB US-GAAP taxonomy in an MCP server so an AI agent must pick from real, verified citations. Measured across three conditions: zero hallucinated citations, every accepted answer verified, and a written justification for each pick.</w:t>
      </w:r>
    </w:p>
    <w:p>
      <w:pPr>
        <w:spacing w:after="120"/>
      </w:pPr>
      <w:r>
        <w:rPr>
          <w:b/>
        </w:rPr>
        <w:t>AuditPatch pipeline.</w:t>
      </w:r>
      <w:r>
        <w:t xml:space="preserve"> End-to-end detect, localize, repair, revalidate, cite and certify on 332 real SEC filings, achieving 81.5% exact repair match with zero regressions.</w:t>
      </w:r>
    </w:p>
    <w:p>
      <w:pPr>
        <w:spacing w:after="120"/>
      </w:pPr>
      <w:r>
        <w:rPr>
          <w:b/>
        </w:rPr>
        <w:t>Documentation.</w:t>
      </w:r>
      <w:r>
        <w:t xml:space="preserve"> Architecture comparison, taxonomy and MCP flow walkthrough, professor brief, full presentation, and the short architecture deck.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dakshkashyap/financial-audit-capstone" TargetMode="External"/><Relationship Id="rId10" Type="http://schemas.openxmlformats.org/officeDocument/2006/relationships/hyperlink" Target="https://github.com/dakshkashyap/financial-audit-capstone/commit/d2a1cb3" TargetMode="External"/><Relationship Id="rId11" Type="http://schemas.openxmlformats.org/officeDocument/2006/relationships/hyperlink" Target="https://github.com/dakshkashyap/financial-audit-capstone/commit/0d34c06" TargetMode="External"/><Relationship Id="rId12" Type="http://schemas.openxmlformats.org/officeDocument/2006/relationships/hyperlink" Target="https://github.com/dakshkashyap/financial-audit-capstone/commit/dc48d61" TargetMode="External"/><Relationship Id="rId13" Type="http://schemas.openxmlformats.org/officeDocument/2006/relationships/hyperlink" Target="https://github.com/dakshkashyap/financial-audit-capstone/commit/7622f73" TargetMode="External"/><Relationship Id="rId14" Type="http://schemas.openxmlformats.org/officeDocument/2006/relationships/hyperlink" Target="https://github.com/dakshkashyap/financial-audit-capstone/commit/8fd7d87" TargetMode="External"/><Relationship Id="rId15" Type="http://schemas.openxmlformats.org/officeDocument/2006/relationships/hyperlink" Target="https://github.com/dakshkashyap/financial-audit-capstone/commit/b848a8b" TargetMode="External"/><Relationship Id="rId16" Type="http://schemas.openxmlformats.org/officeDocument/2006/relationships/hyperlink" Target="https://github.com/dakshkashyap/financial-audit-capstone/commit/04d3f71" TargetMode="External"/><Relationship Id="rId17" Type="http://schemas.openxmlformats.org/officeDocument/2006/relationships/hyperlink" Target="https://github.com/dakshkashyap/financial-audit-capstone/commit/591e5d7" TargetMode="External"/><Relationship Id="rId18" Type="http://schemas.openxmlformats.org/officeDocument/2006/relationships/hyperlink" Target="https://github.com/dakshkashyap/financial-audit-capstone/commit/e11f3a2" TargetMode="External"/><Relationship Id="rId19" Type="http://schemas.openxmlformats.org/officeDocument/2006/relationships/hyperlink" Target="https://github.com/dakshkashyap/financial-audit-capstone/commit/afa52aa" TargetMode="External"/><Relationship Id="rId20" Type="http://schemas.openxmlformats.org/officeDocument/2006/relationships/hyperlink" Target="https://github.com/dakshkashyap/financial-audit-capstone/commit/a0e8de7" TargetMode="External"/><Relationship Id="rId21" Type="http://schemas.openxmlformats.org/officeDocument/2006/relationships/hyperlink" Target="https://github.com/dakshkashyap/financial-audit-capstone/commit/6a353c5" TargetMode="External"/><Relationship Id="rId22" Type="http://schemas.openxmlformats.org/officeDocument/2006/relationships/hyperlink" Target="https://github.com/dakshkashyap/financial-audit-capstone/commit/5de40e4" TargetMode="External"/><Relationship Id="rId23" Type="http://schemas.openxmlformats.org/officeDocument/2006/relationships/hyperlink" Target="https://github.com/dakshkashyap/financial-audit-capstone/commit/34b28de" TargetMode="External"/><Relationship Id="rId24" Type="http://schemas.openxmlformats.org/officeDocument/2006/relationships/hyperlink" Target="https://github.com/dakshkashyap/financial-audit-capstone/commit/889922b" TargetMode="External"/><Relationship Id="rId25" Type="http://schemas.openxmlformats.org/officeDocument/2006/relationships/hyperlink" Target="https://github.com/dakshkashyap/financial-audit-capstone/commit/7c43575" TargetMode="External"/><Relationship Id="rId26" Type="http://schemas.openxmlformats.org/officeDocument/2006/relationships/hyperlink" Target="https://github.com/dakshkashyap/financial-audit-capstone/commit/666bf62" TargetMode="External"/><Relationship Id="rId27" Type="http://schemas.openxmlformats.org/officeDocument/2006/relationships/hyperlink" Target="https://github.com/dakshkashyap/financial-audit-capstone/commit/6ee78aa" TargetMode="External"/><Relationship Id="rId28" Type="http://schemas.openxmlformats.org/officeDocument/2006/relationships/hyperlink" Target="https://github.com/dakshkashyap/financial-audit-capstone/commit/ba87b20" TargetMode="External"/><Relationship Id="rId29" Type="http://schemas.openxmlformats.org/officeDocument/2006/relationships/hyperlink" Target="https://github.com/dakshkashyap/financial-audit-capstone/commit/141a6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