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6E83" w14:textId="6F63EC5D" w:rsidR="007F3111" w:rsidRDefault="007F3111" w:rsidP="007F3111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>
        <w:rPr>
          <w:rFonts w:asciiTheme="majorHAnsi" w:hAnsiTheme="majorHAnsi"/>
          <w:b/>
          <w:bCs/>
          <w:sz w:val="40"/>
          <w:szCs w:val="40"/>
          <w:u w:val="single"/>
        </w:rPr>
        <w:t>The Dependency &amp; License Audit</w:t>
      </w:r>
    </w:p>
    <w:p w14:paraId="1DDFC513" w14:textId="2971FD8F" w:rsidR="007F3111" w:rsidRPr="007F3111" w:rsidRDefault="007F3111" w:rsidP="007F31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Frontend Dependencies</w:t>
      </w:r>
    </w:p>
    <w:p w14:paraId="2C9838F4" w14:textId="77777777" w:rsidR="007F3111" w:rsidRP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Next.js (Framework):</w:t>
      </w:r>
      <w:r>
        <w:rPr>
          <w:sz w:val="28"/>
          <w:szCs w:val="28"/>
        </w:rPr>
        <w:t xml:space="preserve"> MIT License. Highly permissive; perfectly safe for commercial use.</w:t>
      </w:r>
    </w:p>
    <w:p w14:paraId="66CDB451" w14:textId="77777777" w:rsidR="007F3111" w:rsidRP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React (UI Library):</w:t>
      </w:r>
      <w:r>
        <w:rPr>
          <w:sz w:val="28"/>
          <w:szCs w:val="28"/>
        </w:rPr>
        <w:t xml:space="preserve"> MIT License. Safe for commercial use.</w:t>
      </w:r>
    </w:p>
    <w:p w14:paraId="7C8B72CB" w14:textId="77777777" w:rsidR="007F3111" w:rsidRP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Tailwind CSS (Styling):</w:t>
      </w:r>
      <w:r>
        <w:rPr>
          <w:sz w:val="28"/>
          <w:szCs w:val="28"/>
        </w:rPr>
        <w:t xml:space="preserve"> MIT License. Safe for commercial use.</w:t>
      </w:r>
    </w:p>
    <w:p w14:paraId="0CBFE11E" w14:textId="77777777" w:rsidR="007F3111" w:rsidRP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Lucide React (Icons):</w:t>
      </w:r>
      <w:r>
        <w:rPr>
          <w:sz w:val="28"/>
          <w:szCs w:val="28"/>
        </w:rPr>
        <w:t xml:space="preserve"> ISC License. Functionally equivalent to the MIT and BSD licenses; completely safe.</w:t>
      </w:r>
    </w:p>
    <w:p w14:paraId="382BE9AE" w14:textId="77777777" w:rsidR="007F3111" w:rsidRP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Axios (HTTP Client):</w:t>
      </w:r>
      <w:r>
        <w:rPr>
          <w:sz w:val="28"/>
          <w:szCs w:val="28"/>
        </w:rPr>
        <w:t xml:space="preserve"> MIT License. Safe for commercial use.</w:t>
      </w:r>
    </w:p>
    <w:p w14:paraId="1B000001" w14:textId="77777777" w:rsidR="007F3111" w:rsidRDefault="007F3111" w:rsidP="007F31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UI, Animation &amp; Visualization Libraries</w:t>
      </w:r>
    </w:p>
    <w:p w14:paraId="1B000002" w14:textId="77777777" w:rsid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Neumorphism UI (Design System):</w:t>
      </w:r>
      <w:r>
        <w:rPr>
          <w:sz w:val="28"/>
          <w:szCs w:val="28"/>
        </w:rPr>
        <w:t xml:space="preserve"> MIT License. Open-source UI kit implementing the neumorphic design paradigm. Commercially safe.</w:t>
      </w:r>
    </w:p>
    <w:p w14:paraId="1B000003" w14:textId="77777777" w:rsid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Framer Motion (Animation):</w:t>
      </w:r>
      <w:r>
        <w:rPr>
          <w:sz w:val="28"/>
          <w:szCs w:val="28"/>
        </w:rPr>
        <w:t xml:space="preserve"> MIT License. Safe for commercial use.</w:t>
      </w:r>
    </w:p>
    <w:p w14:paraId="1B000004" w14:textId="77777777" w:rsid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React Spring (Animation):</w:t>
      </w:r>
      <w:r>
        <w:rPr>
          <w:sz w:val="28"/>
          <w:szCs w:val="28"/>
        </w:rPr>
        <w:t xml:space="preserve"> MIT License. Safe for commercial use.</w:t>
      </w:r>
    </w:p>
    <w:p w14:paraId="1B000005" w14:textId="77777777" w:rsid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AutoAnimate (Animation):</w:t>
      </w:r>
      <w:r>
        <w:rPr>
          <w:sz w:val="28"/>
          <w:szCs w:val="28"/>
        </w:rPr>
        <w:t xml:space="preserve"> MIT License. Safe for commercial use.</w:t>
      </w:r>
    </w:p>
    <w:p w14:paraId="1B000006" w14:textId="77777777" w:rsid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Nivo (Data Visualization):</w:t>
      </w:r>
      <w:r>
        <w:rPr>
          <w:sz w:val="28"/>
          <w:szCs w:val="28"/>
        </w:rPr>
        <w:t xml:space="preserve"> MIT License. Safe for commercial use.</w:t>
      </w:r>
    </w:p>
    <w:p w14:paraId="1B000007" w14:textId="77777777" w:rsidR="007F3111" w:rsidRDefault="007F3111" w:rsidP="007F311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Tremor (Dashboard Components):</w:t>
      </w:r>
      <w:r>
        <w:rPr>
          <w:sz w:val="28"/>
          <w:szCs w:val="28"/>
        </w:rPr>
        <w:t xml:space="preserve"> Apache 2.0 License. Highly permissive; grants explicit patent rights in addition to copyright. Fully safe for commercial, closed-source use.</w:t>
      </w:r>
    </w:p>
    <w:p w14:paraId="07B09161" w14:textId="77777777" w:rsidR="007F3111" w:rsidRPr="007F3111" w:rsidRDefault="007F3111" w:rsidP="007F31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Dependencies</w:t>
      </w:r>
    </w:p>
    <w:p w14:paraId="1BC5EF90" w14:textId="77777777" w:rsidR="007F3111" w:rsidRPr="007F3111" w:rsidRDefault="007F3111" w:rsidP="007F3111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Python (Language):</w:t>
      </w:r>
      <w:r>
        <w:rPr>
          <w:sz w:val="28"/>
          <w:szCs w:val="28"/>
        </w:rPr>
        <w:t xml:space="preserve"> Python Software Foundation (PSF) License. Permissive and safe for commercial applications.</w:t>
      </w:r>
    </w:p>
    <w:p w14:paraId="13841911" w14:textId="77777777" w:rsidR="007F3111" w:rsidRPr="007F3111" w:rsidRDefault="007F3111" w:rsidP="007F3111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Django (Web Framework):</w:t>
      </w:r>
      <w:r>
        <w:rPr>
          <w:sz w:val="28"/>
          <w:szCs w:val="28"/>
        </w:rPr>
        <w:t xml:space="preserve"> BSD (3-Clause) License. A highly permissive open-source license that places almost no restrictions on what you can do with the software commercially.</w:t>
      </w:r>
    </w:p>
    <w:p w14:paraId="4DC26C07" w14:textId="77777777" w:rsidR="007F3111" w:rsidRPr="007F3111" w:rsidRDefault="007F3111" w:rsidP="007F3111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Django REST Framework (API Layer):</w:t>
      </w:r>
      <w:r>
        <w:rPr>
          <w:sz w:val="28"/>
          <w:szCs w:val="28"/>
        </w:rPr>
        <w:t xml:space="preserve"> BSD (2-Clause) License. Commercially safe.</w:t>
      </w:r>
    </w:p>
    <w:p w14:paraId="36B733FE" w14:textId="77777777" w:rsidR="007F3111" w:rsidRPr="007F3111" w:rsidRDefault="007F3111" w:rsidP="007F31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&amp; Infrastructure</w:t>
      </w:r>
    </w:p>
    <w:p w14:paraId="2D525CE2" w14:textId="77777777" w:rsidR="007F3111" w:rsidRPr="007F3111" w:rsidRDefault="007F3111" w:rsidP="007F3111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SQLite (Current Dev DB):</w:t>
      </w:r>
      <w:r>
        <w:rPr>
          <w:sz w:val="28"/>
          <w:szCs w:val="28"/>
        </w:rPr>
        <w:t xml:space="preserve"> Public Domain. No licensing restrictions whatsoever.</w:t>
      </w:r>
    </w:p>
    <w:p w14:paraId="4BC21A20" w14:textId="77777777" w:rsidR="007F3111" w:rsidRPr="007F3111" w:rsidRDefault="007F3111" w:rsidP="007F3111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PostgreSQL (Planned Prod DB):</w:t>
      </w:r>
      <w:r>
        <w:rPr>
          <w:sz w:val="28"/>
          <w:szCs w:val="28"/>
        </w:rPr>
        <w:t xml:space="preserve"> PostgreSQL License. A liberal Open Source license, similar to BSD or MIT. Fully approved for commercial, closed-source hosting.</w:t>
      </w:r>
    </w:p>
    <w:p w14:paraId="58A41FCB" w14:textId="1519240E" w:rsidR="007F3111" w:rsidRPr="007F3111" w:rsidRDefault="007F3111" w:rsidP="007F311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Architect's Verdict on Step 1:</w:t>
      </w:r>
      <w:r>
        <w:rPr>
          <w:sz w:val="28"/>
          <w:szCs w:val="28"/>
        </w:rPr>
        <w:t xml:space="preserve"> There is zero licensing risk in our current architecture. We have successfully avoided restrictive libraries, meaning you retain 100% intellectual property rights over the CottonSoft codebase.</w:t>
      </w:r>
    </w:p>
    <w:sectPr w:rsidR="007F3111" w:rsidRPr="007F31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871EA"/>
    <w:multiLevelType w:val="multilevel"/>
    <w:tmpl w:val="B6B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A2D14"/>
    <w:multiLevelType w:val="multilevel"/>
    <w:tmpl w:val="492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650E4"/>
    <w:multiLevelType w:val="multilevel"/>
    <w:tmpl w:val="F41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834986">
    <w:abstractNumId w:val="1"/>
  </w:num>
  <w:num w:numId="2" w16cid:durableId="1355040795">
    <w:abstractNumId w:val="0"/>
  </w:num>
  <w:num w:numId="3" w16cid:durableId="850531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11"/>
    <w:rsid w:val="007F3111"/>
    <w:rsid w:val="00E1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FBE9"/>
  <w15:chartTrackingRefBased/>
  <w15:docId w15:val="{A06F6F62-5F9D-4A00-909E-8A244854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Sethi</dc:creator>
  <cp:keywords/>
  <dc:description/>
  <cp:lastModifiedBy>Daksh Sethi</cp:lastModifiedBy>
  <cp:revision>1</cp:revision>
  <dcterms:created xsi:type="dcterms:W3CDTF">2026-02-17T18:30:00Z</dcterms:created>
  <dcterms:modified xsi:type="dcterms:W3CDTF">2026-02-17T18:33:00Z</dcterms:modified>
</cp:coreProperties>
</file>