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Vision Document</w:t>
      </w:r>
    </w:p>
    <w:p>
      <w:r>
        <w:rPr>
          <w:sz w:val="18"/>
        </w:rPr>
        <w:t>D01  |  Version 0.1  |  12 October 2026</w:t>
      </w:r>
    </w:p>
    <w:p>
      <w:r>
        <w:t>Define the proposed product, the outcome it seeks and the boundaries that protect that outcome.</w:t>
      </w:r>
    </w:p>
    <w:p>
      <w:pPr>
        <w:pStyle w:val="Heading1"/>
      </w:pPr>
      <w:r>
        <w:t>Vision</w:t>
      </w:r>
    </w:p>
    <w:p>
      <w:r>
        <w:t>We want small communities to access specialist cultural experiences they cannot justify booking alone. Museums and arts venues would offer programmes they can already deliver, while the platform helps several willing communities agree a shared session and assemble a viable reservation booking.</w:t>
      </w:r>
    </w:p>
    <w:p>
      <w:pPr>
        <w:pStyle w:val="Heading1"/>
      </w:pPr>
      <w:r>
        <w:t>Who benefits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85" w:type="dxa"/>
              <w:left w:w="85" w:type="dxa"/>
              <w:bottom w:w="85" w:type="dxa"/>
              <w:right w:w="85" w:type="dxa"/>
            </w:tcMar>
            <w:shd w:fill="EAEFEC"/>
          </w:tcPr>
          <w:p>
            <w:pPr>
              <w:keepNext w:val="0"/>
              <w:spacing w:after="60" w:before="40" w:line="259" w:lineRule="auto"/>
            </w:pPr>
            <w:r>
              <w:rPr>
                <w:b/>
                <w:sz w:val="20"/>
              </w:rPr>
              <w:t>Actor</w:t>
            </w:r>
          </w:p>
        </w:tc>
        <w:tc>
          <w:tcPr>
            <w:tcW w:type="dxa" w:w="7056"/>
            <w:vAlign w:val="center"/>
            <w:tcMar>
              <w:top w:w="85" w:type="dxa"/>
              <w:left w:w="85" w:type="dxa"/>
              <w:bottom w:w="85" w:type="dxa"/>
              <w:right w:w="85" w:type="dxa"/>
            </w:tcMar>
            <w:shd w:fill="EAEFEC"/>
          </w:tcPr>
          <w:p>
            <w:pPr>
              <w:keepNext w:val="0"/>
              <w:spacing w:after="60" w:before="40" w:line="259" w:lineRule="auto"/>
            </w:pPr>
            <w:r>
              <w:rPr>
                <w:b/>
                <w:sz w:val="20"/>
              </w:rPr>
              <w:t>Desired outcome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Venue manager</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An additional booking with approved terms and sufficient reserved attendance.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Community organiser</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A suitable outing without personally finding compatible partner groups and coordinating every response.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Participant</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A clear, affordable offer they can attend with their own community, with control over whether to share.</w:t>
            </w:r>
          </w:p>
        </w:tc>
      </w:tr>
    </w:tbl>
    <w:p>
      <w:pPr>
        <w:spacing w:after="60" w:before="0" w:line="60" w:lineRule="exact"/>
      </w:pPr>
    </w:p>
    <w:p>
      <w:pPr>
        <w:pStyle w:val="Heading1"/>
      </w:pPr>
      <w:r>
        <w:t>Product thesis</w:t>
      </w:r>
    </w:p>
    <w:p>
      <w:r>
        <w:t>Demand may be dispersed across small communities whose interests appear different. Cultural connections could reveal an experience several groups would value. The platform must then establish practical feasibility and explicit commitments. A recommendation alone does not establish demand.</w:t>
      </w:r>
    </w:p>
    <w:p>
      <w:pPr>
        <w:pStyle w:val="Heading1"/>
      </w:pPr>
      <w:r>
        <w:t>Principles</w:t>
      </w:r>
    </w:p>
    <w:p>
      <w:pPr>
        <w:pStyle w:val="ListBullet"/>
      </w:pPr>
      <w:r>
        <w:t>Ask what a cultural reference means to the group; do not infer identity, social compatibility or willingness to pay.</w:t>
      </w:r>
    </w:p>
    <w:p>
      <w:pPr>
        <w:pStyle w:val="ListBullet"/>
      </w:pPr>
      <w:r>
        <w:t>Treat rejection as useful information. A group can decline sharing even when a taste model suggests affinity.</w:t>
      </w:r>
    </w:p>
    <w:p>
      <w:pPr>
        <w:pStyle w:val="ListBullet"/>
      </w:pPr>
      <w:r>
        <w:t>Preserve curatorial and venue authority. Recommend only approved programmes and slots.</w:t>
      </w:r>
    </w:p>
    <w:p>
      <w:pPr>
        <w:pStyle w:val="ListBullet"/>
      </w:pPr>
      <w:r>
        <w:t>Show what the system knows, what it inferred and what remains uncertain.</w:t>
      </w:r>
    </w:p>
    <w:p>
      <w:pPr>
        <w:pStyle w:val="Heading1"/>
      </w:pPr>
      <w:r>
        <w:t>Initial scope</w:t>
      </w:r>
    </w:p>
    <w:p>
      <w:r>
        <w:t>The first implementation is an Edinburgh demonstration and a proposed one-venue pilot, using adult communities, GBP quotes, reservations and explicit venue confirmation. It has no automatic card payments or claim of a guaranteed audience.</w:t>
      </w:r>
    </w:p>
    <w:p>
      <w:pPr>
        <w:pStyle w:val="Heading1"/>
      </w:pPr>
      <w:r>
        <w:t>Evidence and success</w:t>
      </w:r>
    </w:p>
    <w:p>
      <w:r>
        <w:t>A pilot succeeds if a venue and multiple groups complete a shared reservation booking, participants attend, coordination costs remain manageable and the venue would repeat the service. A separate comparison must establish whether Qloo improves discovery. These are targets to test, not achieved results.</w:t>
      </w:r>
    </w:p>
    <w:p>
      <w:pPr>
        <w:pStyle w:val="Heading1"/>
      </w:pPr>
      <w:r>
        <w:t>Strategic limits</w:t>
      </w:r>
    </w:p>
    <w:p>
      <w:r>
        <w:t>Ordinary public tickets and free visits already serve many needs. Prioritise specialist experiences with a genuine fixed cost or minimum attendance. Do not position basic group recommendations as unprecedented; previous Qloo group-planning projects exist.</w:t>
      </w:r>
    </w:p>
    <w:p>
      <w:pPr>
        <w:keepNext/>
        <w:spacing w:before="100" w:after="60"/>
      </w:pPr>
      <w:r>
        <w:rPr>
          <w:b/>
          <w:sz w:val="18"/>
        </w:rPr>
        <w:t>References</w:t>
      </w:r>
    </w:p>
    <w:p>
      <w:pPr>
        <w:spacing w:after="60"/>
      </w:pPr>
      <w:r>
        <w:rPr>
          <w:sz w:val="18"/>
        </w:rPr>
        <w:t>Related documents D02, D08, D22</w:t>
      </w:r>
    </w:p>
    <w:p>
      <w:pPr>
        <w:spacing w:after="60"/>
      </w:pPr>
      <w:r>
        <w:rPr>
          <w:sz w:val="18"/>
        </w:rPr>
        <w:t xml:space="preserve">SRC01  </w:t>
      </w:r>
      <w:r>
        <w:rPr>
          <w:sz w:val="18"/>
        </w:rPr>
        <w:t>Product brief approved in this conversation</w:t>
      </w:r>
    </w:p>
    <w:p>
      <w:pPr>
        <w:spacing w:after="60"/>
      </w:pPr>
      <w:r>
        <w:rPr>
          <w:sz w:val="18"/>
        </w:rPr>
        <w:t xml:space="preserve">SRC09  </w:t>
      </w:r>
      <w:hyperlink r:id="rId10">
        <w:r>
          <w:rPr>
            <w:sz w:val="18"/>
            <w:color w:val="000000"/>
            <w:u w:val="single"/>
          </w:rPr>
          <w:t>National Museums Scotland private tour packages</w:t>
        </w:r>
      </w:hyperlink>
    </w:p>
    <w:p>
      <w:pPr>
        <w:spacing w:after="60"/>
      </w:pPr>
      <w:r>
        <w:rPr>
          <w:sz w:val="18"/>
        </w:rPr>
        <w:t xml:space="preserve">SRC14  </w:t>
      </w:r>
      <w:hyperlink r:id="rId11">
        <w:r>
          <w:rPr>
            <w:sz w:val="18"/>
            <w:color w:val="000000"/>
            <w:u w:val="single"/>
          </w:rPr>
          <w:t>CultureCircle prior Qloo project</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ms.ac.uk/national-museum-of-scotland/plan-your-visit/travel-trade/private-tours-and-experiences" TargetMode="External"/><Relationship Id="rId11" Type="http://schemas.openxmlformats.org/officeDocument/2006/relationships/hyperlink" Target="https://devpost.com/software/culturecir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Document</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