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r>
        <w:rPr>
          <w:sz w:val="18"/>
        </w:rPr>
        <w:t>D03  |  Version 0.1  |  12 October 2026</w:t>
      </w:r>
    </w:p>
    <w:p>
      <w:r>
        <w:t>Specify the user-facing MVP and its release conditions.</w:t>
      </w:r>
    </w:p>
    <w:p>
      <w:pPr>
        <w:pStyle w:val="Heading1"/>
      </w:pPr>
      <w:r>
        <w:t>Release objective</w:t>
      </w:r>
    </w:p>
    <w:p>
      <w:r>
        <w:t>Deliver an accessible judge demo: isolated synthetic groups, real Qloo reference resolution, feasible shared proposals, rejection and revision, seat reservations and simulated venue confirmation.</w:t>
      </w:r>
    </w:p>
    <w:p>
      <w:pPr>
        <w:pStyle w:val="Heading1"/>
      </w:pPr>
      <w:r>
        <w:t>Core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Requirement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Identity and access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Authenticate actors; authorise workspace, organisation, group and proposal access on every request.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Approved catalogue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managers maintain deliverable experiences, quotes, cultural anchors and available slots.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 brief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Organisers record declared references, meanings, sharing consent, budget, group size and exact availability.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Entity resolution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Resolve references through Qloo search and obtain organiser selection for ambiguous results.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 discovery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Fetch genuine server-side Qloo evidence and label live, cached, unavailable and synthetic modes.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Interpretation and mapping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Use venue-approved links between experience anchors and cultural entities; preserve declared meanings.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Coalition formation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Generate ranked feasible coalitions of two to four groups without violating hard constraints.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Explanations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Explain suitability, uncertainty and exclusions with valid evidence references.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Versioned proposals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Publish immutable terms; every material revision invalidates prior decisions and reservations.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 decisions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Each included group organiser accepts or declines the current version and sharing arrangement.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Each authenticated participant reserves one seat, subject to capacity and consent.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confirmation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 a reservation booking atomically only when readiness, slot and quote checks pass.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Lifecycle recovery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Handle withdrawal, cancellation, expiry and completion without hidden state changes.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Agent job visibility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Expose bounded job progress, failures, retries and in-app status changes.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 judge sandbox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isolated synthetic workspaces for unauthenticated judges, with scoped role simulation.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Privacy controls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Provide consent choices, account export, deletion and retention enforcement.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Evaluation evidence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Record outcome events and comparable benchmark runs without claiming unmeasured improvement.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 control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Operators review venue eligibility, resolve support issues and audit privileged actions.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Scope and dependencies</w:t>
      </w:r>
    </w:p>
    <w:p>
      <w:r>
        <w:t>Use 5 to 10 approved experiences, at most 20 groups per run and 2 to 4 groups per coalition. Venue records supply prices and slots. Qloo and an LLM provider are dependencies; credentials remain to be configured.</w:t>
      </w:r>
    </w:p>
    <w:p>
      <w:pPr>
        <w:pStyle w:val="Heading1"/>
      </w:pPr>
      <w:r>
        <w:t>Meaning of completion</w:t>
      </w:r>
    </w:p>
    <w:p>
      <w:r>
        <w:t>Confirmation means venue approval of a reservation booking. Show payment_status=NOT_COLLECTED. Do not present paid tickets, receipts or successful refunds.</w:t>
      </w:r>
    </w:p>
    <w:p>
      <w:pPr>
        <w:pStyle w:val="Heading1"/>
      </w:pPr>
      <w:r>
        <w:t>Release acceptance</w:t>
      </w:r>
    </w:p>
    <w:p>
      <w:pPr>
        <w:pStyle w:val="ListBullet"/>
      </w:pPr>
      <w:r>
        <w:t>R01 to R18 have traceable acceptance tests or a documented release exception.</w:t>
      </w:r>
    </w:p>
    <w:p>
      <w:pPr>
        <w:pStyle w:val="ListBullet"/>
      </w:pPr>
      <w:r>
        <w:t>Critical authorisation, transaction, provenance and public-demo tests pass with no exceptions.</w:t>
      </w:r>
    </w:p>
    <w:p>
      <w:pPr>
        <w:pStyle w:val="ListBullet"/>
      </w:pPr>
      <w:r>
        <w:t>The no-feasible-result and provider-unavailable journeys are usable.</w:t>
      </w:r>
    </w:p>
    <w:p>
      <w:pPr>
        <w:pStyle w:val="ListBullet"/>
      </w:pPr>
      <w:r>
        <w:t>The published repository contains source and setup instructions but no secrets or Qloo response dumps.</w:t>
      </w:r>
    </w:p>
    <w:p>
      <w:pPr>
        <w:pStyle w:val="Heading1"/>
      </w:pPr>
      <w:r>
        <w:t>Change control</w:t>
      </w:r>
    </w:p>
    <w:p>
      <w:r>
        <w:t>The product owner maintains priorities. Changes to payments, agent authority, lifecycle or consent require updates to D04, D14, D16, D19 and D26. Synthetic fixtures are not customer evidence.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D04, D05, D08, D26</w:t>
      </w:r>
    </w:p>
    <w:p>
      <w:pPr>
        <w:spacing w:after="60"/>
      </w:pPr>
      <w:r>
        <w:rPr>
          <w:sz w:val="18"/>
        </w:rPr>
        <w:t xml:space="preserve">SRC01  </w:t>
      </w:r>
      <w:r>
        <w:rPr>
          <w:sz w:val="18"/>
        </w:rPr>
        <w:t>Product brief approved in this conversation</w:t>
      </w:r>
    </w:p>
    <w:p>
      <w:pPr>
        <w:spacing w:after="60"/>
      </w:pPr>
      <w:r>
        <w:rPr>
          <w:sz w:val="18"/>
        </w:rPr>
        <w:t xml:space="preserve">SRC07  </w:t>
      </w:r>
      <w:hyperlink r:id="rId10">
        <w:r>
          <w:rPr>
            <w:sz w:val="18"/>
            <w:color w:val="000000"/>
            <w:u w:val="single"/>
          </w:rPr>
          <w:t>Qloo official hackathon overview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qloo.devpo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