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Architecture Document</w:t>
      </w:r>
    </w:p>
    <w:p>
      <w:r>
        <w:rPr>
          <w:sz w:val="18"/>
        </w:rPr>
        <w:t>D09  |  Version 0.1  |  12 October 2026</w:t>
      </w:r>
    </w:p>
    <w:p>
      <w:r>
        <w:t>Define component responsibilities and trust boundaries.</w:t>
      </w:r>
    </w:p>
    <w:p>
      <w:pPr>
        <w:pStyle w:val="Heading1"/>
      </w:pPr>
      <w:r>
        <w:t>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11880"/>
            <wp:docPr id="1" name="Picture 1" descr="Provider calls and privileged operations remain behind authenticated server boundar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sz w:val="18"/>
        </w:rPr>
        <w:t>Provider calls and privileged operations remain behind authenticated server boundaries.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592"/>
        <w:gridCol w:w="583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Responsibility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Boundary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Next.js client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Forms, catalogue views, proposal comparison, status and role-scoped actions.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Untrusted inputs; no Qloo or service-role key.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Next.js API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Authenticate, authorise, validate DTOs, apply rate limits and request transactions.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Never trust IDs or roles supplied by the browser.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Domain services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Quote arithmetic, hard constraints, coalition scoring and lifecycle guards.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Deterministic code; independent of LLM output.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PostgreSQL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Immutable revisions, active reservations, membership checks, locks and audit records.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Fail-closed grants and RLS; critical writes through guarded functions.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Supabase Edge worker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Lease agent jobs, call Qloo and LLM, checkpoint bounded steps.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Server credentials; role-limited tool allowlist.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Supabase Cron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Expire proposals and recover abandoned leases.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Scheduled database maintenance; no browser dependency.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Qloo adapter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Entity lookup and rank evidence.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External service; no identity or access notes.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LLM adapter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Structured brief extraction and evidence-grounded draft wording.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Optional; cannot price, confirm or change permissions.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Chosen architecture and tradeoffs</w:t>
      </w:r>
    </w:p>
    <w:p>
      <w:r>
        <w:t>Use one modular application and database. Durable asynchronous jobs isolate provider latency from booking transactions. A bounded worker handles initial execution; the database scheduler handles recovery and expiry. Vercel is not the durable queue.</w:t>
      </w:r>
    </w:p>
    <w:p>
      <w:pPr>
        <w:pStyle w:val="Heading1"/>
      </w:pPr>
      <w:r>
        <w:t>Data flow</w:t>
      </w:r>
    </w:p>
    <w:p>
      <w:r>
        <w:t>The worker sends consented cultural IDs to Qloo. Approved mappings connect returned entities to experiences. The solver writes sanitised DRAFT proposals; human publication and reservations use guarded database transactions.</w:t>
      </w:r>
    </w:p>
    <w:p>
      <w:pPr>
        <w:pStyle w:val="Heading1"/>
      </w:pPr>
      <w:r>
        <w:t>Isolation</w:t>
      </w:r>
    </w:p>
    <w:p>
      <w:r>
        <w:t>Each workspace contains one pilot exchange. Organisers and authorised operators can read private briefs; participants receive approved group summaries. Signed judge capabilities address isolated synthetic workspaces only.</w:t>
      </w:r>
    </w:p>
    <w:p>
      <w:pPr>
        <w:pStyle w:val="Heading1"/>
      </w:pPr>
      <w:r>
        <w:t>Availability and failure</w:t>
      </w:r>
    </w:p>
    <w:p>
      <w:r>
        <w:t>Qloo outages stop new cultural matching, while published terms remain usable. LLM failure permits deterministic explanations. Database outages block mutations and report retryable failure; never report a false success.</w:t>
      </w:r>
    </w:p>
    <w:p>
      <w:pPr>
        <w:keepNext/>
        <w:spacing w:before="100" w:after="60"/>
      </w:pPr>
      <w:r>
        <w:rPr>
          <w:b/>
          <w:sz w:val="18"/>
        </w:rPr>
        <w:t>References</w:t>
      </w:r>
    </w:p>
    <w:p>
      <w:pPr>
        <w:spacing w:after="60"/>
      </w:pPr>
      <w:r>
        <w:rPr>
          <w:sz w:val="18"/>
        </w:rPr>
        <w:t>Related documents D10, D15, D19, D23</w:t>
      </w:r>
    </w:p>
    <w:p>
      <w:pPr>
        <w:spacing w:after="60"/>
      </w:pPr>
      <w:r>
        <w:rPr>
          <w:sz w:val="18"/>
        </w:rPr>
        <w:t xml:space="preserve">SRC10  </w:t>
      </w:r>
      <w:hyperlink r:id="rId11">
        <w:r>
          <w:rPr>
            <w:sz w:val="18"/>
            <w:color w:val="000000"/>
            <w:u w:val="single"/>
          </w:rPr>
          <w:t>Supabase Row Level Security</w:t>
        </w:r>
      </w:hyperlink>
    </w:p>
    <w:p>
      <w:pPr>
        <w:spacing w:after="60"/>
      </w:pPr>
      <w:r>
        <w:rPr>
          <w:sz w:val="18"/>
        </w:rPr>
        <w:t xml:space="preserve">SRC11  </w:t>
      </w:r>
      <w:hyperlink r:id="rId12">
        <w:r>
          <w:rPr>
            <w:sz w:val="18"/>
            <w:color w:val="000000"/>
            <w:u w:val="single"/>
          </w:rPr>
          <w:t>Supabase Cron</w:t>
        </w:r>
      </w:hyperlink>
    </w:p>
    <w:p>
      <w:pPr>
        <w:spacing w:after="60"/>
      </w:pPr>
      <w:r>
        <w:rPr>
          <w:sz w:val="18"/>
        </w:rPr>
        <w:t xml:space="preserve">SRC12  </w:t>
      </w:r>
      <w:hyperlink r:id="rId13">
        <w:r>
          <w:rPr>
            <w:sz w:val="18"/>
            <w:color w:val="000000"/>
            <w:u w:val="single"/>
          </w:rPr>
          <w:t>Vercel Cron usage and pricing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D09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supabase.com/docs/guides/database/postgres/row-level-security" TargetMode="External"/><Relationship Id="rId12" Type="http://schemas.openxmlformats.org/officeDocument/2006/relationships/hyperlink" Target="https://supabase.com/docs/guides/cron" TargetMode="External"/><Relationship Id="rId13" Type="http://schemas.openxmlformats.org/officeDocument/2006/relationships/hyperlink" Target="https://vercel.com/docs/cron-jobs/usage-and-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 Document</dc:title>
  <dc:subject>Shared Cultural Bookings proposed implementation specification</dc:subject>
  <dc:creator>Vasudha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