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Technical Design Document</w:t>
      </w:r>
    </w:p>
    <w:p>
      <w:r>
        <w:rPr>
          <w:sz w:val="18"/>
        </w:rPr>
        <w:t>D10  |  Version 0.1  |  12 October 2026</w:t>
      </w:r>
    </w:p>
    <w:p>
      <w:r>
        <w:t>Specify module boundaries, write paths and concurrency behaviour.</w:t>
      </w:r>
    </w:p>
    <w:p>
      <w:pPr>
        <w:pStyle w:val="Heading1"/>
      </w:pPr>
      <w:r>
        <w:t>Suggested code organisation</w:t>
      </w:r>
    </w:p>
    <w:p>
      <w:pPr>
        <w:spacing w:after="20" w:line="240" w:lineRule="auto"/>
      </w:pPr>
      <w:r>
        <w:rPr>
          <w:rFonts w:ascii="DejaVu Sans Mono" w:hAnsi="DejaVu Sans Mono" w:eastAsia="DejaVu Sans Mono" w:cs="DejaVu Sans Mono"/>
          <w:sz w:val="18"/>
        </w:rPr>
        <w:t>app/                  role-scoped pages and /api/v1 routes</w:t>
      </w:r>
    </w:p>
    <w:p>
      <w:pPr>
        <w:spacing w:after="20" w:line="240" w:lineRule="auto"/>
      </w:pPr>
      <w:r>
        <w:rPr>
          <w:rFonts w:ascii="DejaVu Sans Mono" w:hAnsi="DejaVu Sans Mono" w:eastAsia="DejaVu Sans Mono" w:cs="DejaVu Sans Mono"/>
          <w:sz w:val="18"/>
        </w:rPr>
        <w:t>lib/auth/             session verification and object permissions</w:t>
      </w:r>
    </w:p>
    <w:p>
      <w:pPr>
        <w:spacing w:after="20" w:line="240" w:lineRule="auto"/>
      </w:pPr>
      <w:r>
        <w:rPr>
          <w:rFonts w:ascii="DejaVu Sans Mono" w:hAnsi="DejaVu Sans Mono" w:eastAsia="DejaVu Sans Mono" w:cs="DejaVu Sans Mono"/>
          <w:sz w:val="18"/>
        </w:rPr>
        <w:t>lib/domain/           pricing, feasibility, coalition ranking, states</w:t>
      </w:r>
    </w:p>
    <w:p>
      <w:pPr>
        <w:spacing w:after="20" w:line="240" w:lineRule="auto"/>
      </w:pPr>
      <w:r>
        <w:rPr>
          <w:rFonts w:ascii="DejaVu Sans Mono" w:hAnsi="DejaVu Sans Mono" w:eastAsia="DejaVu Sans Mono" w:cs="DejaVu Sans Mono"/>
          <w:sz w:val="18"/>
        </w:rPr>
        <w:t>lib/providers/qloo/   client, parser, allowlists, retry policy</w:t>
      </w:r>
    </w:p>
    <w:p>
      <w:pPr>
        <w:spacing w:after="20" w:line="240" w:lineRule="auto"/>
      </w:pPr>
      <w:r>
        <w:rPr>
          <w:rFonts w:ascii="DejaVu Sans Mono" w:hAnsi="DejaVu Sans Mono" w:eastAsia="DejaVu Sans Mono" w:cs="DejaVu Sans Mono"/>
          <w:sz w:val="18"/>
        </w:rPr>
        <w:t>lib/providers/llm/    structured generation with provider adapter</w:t>
      </w:r>
    </w:p>
    <w:p>
      <w:pPr>
        <w:spacing w:after="20" w:line="240" w:lineRule="auto"/>
      </w:pPr>
      <w:r>
        <w:rPr>
          <w:rFonts w:ascii="DejaVu Sans Mono" w:hAnsi="DejaVu Sans Mono" w:eastAsia="DejaVu Sans Mono" w:cs="DejaVu Sans Mono"/>
          <w:sz w:val="18"/>
        </w:rPr>
        <w:t>lib/agent/            orchestration, checkpoints, tools</w:t>
      </w:r>
    </w:p>
    <w:p>
      <w:pPr>
        <w:spacing w:after="20" w:line="240" w:lineRule="auto"/>
      </w:pPr>
      <w:r>
        <w:rPr>
          <w:rFonts w:ascii="DejaVu Sans Mono" w:hAnsi="DejaVu Sans Mono" w:eastAsia="DejaVu Sans Mono" w:cs="DejaVu Sans Mono"/>
          <w:sz w:val="18"/>
        </w:rPr>
        <w:t>supabase/migrations/  reviewed schema, grants, policies, guarded RPCs</w:t>
      </w:r>
    </w:p>
    <w:p>
      <w:pPr>
        <w:spacing w:after="20" w:line="240" w:lineRule="auto"/>
      </w:pPr>
      <w:r>
        <w:rPr>
          <w:rFonts w:ascii="DejaVu Sans Mono" w:hAnsi="DejaVu Sans Mono" w:eastAsia="DejaVu Sans Mono" w:cs="DejaVu Sans Mono"/>
          <w:sz w:val="18"/>
        </w:rPr>
        <w:t>supabase/functions/   bounded job worker</w:t>
      </w:r>
    </w:p>
    <w:p>
      <w:pPr>
        <w:spacing w:after="20" w:line="240" w:lineRule="auto"/>
      </w:pPr>
      <w:r>
        <w:rPr>
          <w:rFonts w:ascii="DejaVu Sans Mono" w:hAnsi="DejaVu Sans Mono" w:eastAsia="DejaVu Sans Mono" w:cs="DejaVu Sans Mono"/>
          <w:sz w:val="18"/>
        </w:rPr>
        <w:t>tests/                fixtures, contracts, security, concurrency, e2e</w:t>
      </w:r>
    </w:p>
    <w:p>
      <w:pPr>
        <w:pStyle w:val="Heading1"/>
      </w:pPr>
      <w:r>
        <w:t>Match run</w:t>
      </w:r>
    </w:p>
    <w:p>
      <w:r>
        <w:t>POST /api/v1/match-runs validates the requester and eligible groups, creates an idempotent job and returns 202. A worker atomically leases the job, reads frozen brief and catalogue versions, resolves references, obtains Qloo evidence and runs the solver. Each completed stage is checkpointed. Renew a worker lease at least every 10 seconds while running; before each provider request and cached-profile use, recheck current external-query consent. The browser polls the job and can inspect a final result or explicit failure.</w:t>
      </w:r>
    </w:p>
    <w:p>
      <w:pPr>
        <w:pStyle w:val="Heading1"/>
      </w:pPr>
      <w:r>
        <w:t>Reservation transaction</w:t>
      </w:r>
    </w:p>
    <w:p>
      <w:pPr>
        <w:pStyle w:val="ListBullet"/>
      </w:pPr>
      <w:r>
        <w:t>Lock the proposal row, then its slot row in a consistent order. Check current version, database deadline, organiser acceptance and user membership.</w:t>
      </w:r>
    </w:p>
    <w:p>
      <w:pPr>
        <w:pStyle w:val="ListBullet"/>
      </w:pPr>
      <w:r>
        <w:t>Return the previous result for an existing scoped idempotency key with the same payload hash. Reject reuse with different payload.</w:t>
      </w:r>
    </w:p>
    <w:p>
      <w:pPr>
        <w:pStyle w:val="ListBullet"/>
      </w:pPr>
      <w:r>
        <w:t>Count active reservations for this slot across the current proposal. Insert at most one reservation for this participant if capacity remains.</w:t>
      </w:r>
    </w:p>
    <w:p>
      <w:pPr>
        <w:pStyle w:val="ListBullet"/>
      </w:pPr>
      <w:r>
        <w:t>Recompute readiness and commit the seat and state update with an audit event together.</w:t>
      </w:r>
    </w:p>
    <w:p>
      <w:pPr>
        <w:pStyle w:val="Heading1"/>
      </w:pPr>
      <w:r>
        <w:t>Confirmation transaction</w:t>
      </w:r>
    </w:p>
    <w:p>
      <w:r>
        <w:t>The venue action locks the same rows, checks actor authority, current quote version, slot availability, deadline, all included organiser decisions, active reservations and quoted economics. It changes the proposal to CONFIRMED and the slot to BOOKED in one transaction. A second competing or stale confirmation cannot succeed.</w:t>
      </w:r>
    </w:p>
    <w:p>
      <w:pPr>
        <w:pStyle w:val="Heading1"/>
      </w:pPr>
      <w:r>
        <w:t>Version changes</w:t>
      </w:r>
    </w:p>
    <w:p>
      <w:r>
        <w:t>Published versions are immutable. Replacing terms closes the prior version, invalidates its decisions, releases reservations and publishes a new version in one controlled transaction. An experience or slot edit that changes delivery, price or access support also invalidates dependent open proposals.</w:t>
      </w:r>
    </w:p>
    <w:p>
      <w:pPr>
        <w:pStyle w:val="Heading1"/>
      </w:pPr>
      <w:r>
        <w:t>Job limits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tblHeader/>
          <w:cantSplit/>
        </w:trPr>
        <w:tc>
          <w:tcPr>
            <w:tcW w:type="dxa" w:w="2880"/>
            <w:vAlign w:val="center"/>
            <w:tcMar>
              <w:top w:w="85" w:type="dxa"/>
              <w:left w:w="85" w:type="dxa"/>
              <w:bottom w:w="85" w:type="dxa"/>
              <w:right w:w="85" w:type="dxa"/>
            </w:tcMar>
            <w:shd w:fill="EAEFEC"/>
          </w:tcPr>
          <w:p>
            <w:pPr>
              <w:keepNext w:val="0"/>
              <w:spacing w:after="60" w:before="40" w:line="259" w:lineRule="auto"/>
            </w:pPr>
            <w:r>
              <w:rPr>
                <w:b/>
                <w:sz w:val="20"/>
              </w:rPr>
              <w:t>Control</w:t>
            </w:r>
          </w:p>
        </w:tc>
        <w:tc>
          <w:tcPr>
            <w:tcW w:type="dxa" w:w="7056"/>
            <w:vAlign w:val="center"/>
            <w:tcMar>
              <w:top w:w="85" w:type="dxa"/>
              <w:left w:w="85" w:type="dxa"/>
              <w:bottom w:w="85" w:type="dxa"/>
              <w:right w:w="85" w:type="dxa"/>
            </w:tcMar>
            <w:shd w:fill="EAEFEC"/>
          </w:tcPr>
          <w:p>
            <w:pPr>
              <w:keepNext w:val="0"/>
              <w:spacing w:after="60" w:before="40" w:line="259" w:lineRule="auto"/>
            </w:pPr>
            <w:r>
              <w:rPr>
                <w:b/>
                <w:sz w:val="20"/>
              </w:rPr>
              <w:t>Proposed default</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Job wall-clock deadline</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90 seconds across checkpoints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Provider request timeout</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8 seconds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Qloo calls per job</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Maximum 24 including retries</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LLM calls per job</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Maximum 2</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Worker lease</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30 seconds; recover only after lease expiry</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Request body size</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64 KiB</w:t>
            </w:r>
          </w:p>
        </w:tc>
      </w:tr>
      <w:tr>
        <w:trPr>
          <w:cantSplit/>
        </w:trPr>
        <w:tc>
          <w:tcPr>
            <w:tcW w:type="dxa" w:w="2880"/>
            <w:vAlign w:val="center"/>
            <w:tcMar>
              <w:top w:w="85" w:type="dxa"/>
              <w:left w:w="85" w:type="dxa"/>
              <w:bottom w:w="85" w:type="dxa"/>
              <w:right w:w="85" w:type="dxa"/>
            </w:tcMar>
          </w:tcPr>
          <w:p>
            <w:pPr>
              <w:keepNext w:val="0"/>
              <w:spacing w:after="60" w:before="40" w:line="259" w:lineRule="auto"/>
            </w:pPr>
            <w:r>
              <w:rPr>
                <w:b w:val="0"/>
                <w:sz w:val="20"/>
              </w:rPr>
              <w:t>Reference inputs</w:t>
            </w:r>
          </w:p>
        </w:tc>
        <w:tc>
          <w:tcPr>
            <w:tcW w:type="dxa" w:w="7056"/>
            <w:vAlign w:val="center"/>
            <w:tcMar>
              <w:top w:w="85" w:type="dxa"/>
              <w:left w:w="85" w:type="dxa"/>
              <w:bottom w:w="85" w:type="dxa"/>
              <w:right w:w="85" w:type="dxa"/>
            </w:tcMar>
          </w:tcPr>
          <w:p>
            <w:pPr>
              <w:keepNext w:val="0"/>
              <w:spacing w:after="60" w:before="40" w:line="259" w:lineRule="auto"/>
            </w:pPr>
            <w:r>
              <w:rPr>
                <w:b w:val="0"/>
                <w:sz w:val="20"/>
              </w:rPr>
              <w:t>3 to 8 declared references; at least 1 confirmed entity for live ranking</w:t>
            </w:r>
          </w:p>
        </w:tc>
      </w:tr>
    </w:tbl>
    <w:p>
      <w:pPr>
        <w:spacing w:after="60" w:before="0" w:line="60" w:lineRule="exact"/>
      </w:pPr>
    </w:p>
    <w:p>
      <w:pPr>
        <w:pStyle w:val="Heading1"/>
      </w:pPr>
      <w:r>
        <w:t>Implementation assets</w:t>
      </w:r>
    </w:p>
    <w:p>
      <w:r>
        <w:t>specs/openapi.yaml, specs/schema.sql, specs/matching_reference.py and specs/config.json contain reference contracts. They are design assets, not deployed application code. The schema intentionally denies browser data access until explicit policies and guarded functions are implemented and tested.</w:t>
      </w:r>
    </w:p>
    <w:p>
      <w:pPr>
        <w:keepNext/>
        <w:spacing w:before="100" w:after="60"/>
      </w:pPr>
      <w:r>
        <w:rPr>
          <w:b/>
          <w:sz w:val="18"/>
        </w:rPr>
        <w:t>References</w:t>
      </w:r>
    </w:p>
    <w:p>
      <w:pPr>
        <w:spacing w:after="60"/>
      </w:pPr>
      <w:r>
        <w:rPr>
          <w:sz w:val="18"/>
        </w:rPr>
        <w:t>Related documents D11, D12, D13, D15, D16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dc:title>
  <dc:subject>Shared Cultural Bookings proposed implementation specification</dc:subject>
  <dc:creator>Vasudha</dc:creator>
  <cp:keywords/>
  <dc:description>generated by python-docx</dc:description>
  <cp:lastModifiedBy/>
  <cp:revision>1</cp:revision>
  <dcterms:created xsi:type="dcterms:W3CDTF">2013-12-23T23:15:00Z</dcterms:created>
  <dcterms:modified xsi:type="dcterms:W3CDTF">2013-12-23T23:15:00Z</dcterms:modified>
  <cp:category/>
</cp:coreProperties>
</file>