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Qloo API Integration Specification</w:t>
      </w:r>
    </w:p>
    <w:p>
      <w:r>
        <w:rPr>
          <w:sz w:val="18"/>
        </w:rPr>
        <w:t>D11  |  Version 0.1  |  12 October 2026</w:t>
      </w:r>
    </w:p>
    <w:p>
      <w:r>
        <w:t>Define the verified provider surface and the adapter contract to test with a live key.</w:t>
      </w:r>
    </w:p>
    <w:p>
      <w:pPr>
        <w:pStyle w:val="Heading1"/>
      </w:pPr>
      <w:r>
        <w:t>Provider scope</w:t>
      </w:r>
    </w:p>
    <w:p>
      <w:r>
        <w:t>Use the official hackathon environment and GET requests. Resolve organiser references during onboarding, before a matching job. For each matching run, query each eligible group against the same approved cultural-anchor universe. The initial output domain is book; cross-domain input references can still include films, music artists, brands and places. Other output domains require a separate contract test and benchmark.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Provider contract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Application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Entity lookup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 https://hackathon.api.qloo.com/search; query and take parameters.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Return candidates for organiser disambiguation. Do not invent an ID.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Anchor ranking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GET https://hackathon.api.qloo.com/v2/insights; filter.type=urn:entity:book.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Rank approved catalogue anchors for one group.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Inputs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signal.interests.entities as comma-separated confirmed entity IDs.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names, email, group labels or access notes.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Candidate restriction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filter.results.entities as comma-separated approved anchor IDs; take=universe size.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Same candidates and parameters for every group in the run.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Explanations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feature.explainability=true when supported by the key.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Optional provider metadata; absence does not justify invented evidence.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X-Api-Key server-side header.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Store in server secret configuration only.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Request construction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const params = new URLSearchParams({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"filter.type": "urn:entity:book",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"signal.interests.entities": confirmedIds.join(","),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"filter.results.entities": anchorIds.join(","),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"take": String(anchorIds.length),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"feature.explainability": "true"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});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// GET QLOO_BASE_URL + "/v2/insights?" + params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// X-Api-Key: process.env.QLOO_API_KEY</w:t>
      </w:r>
    </w:p>
    <w:p>
      <w:pPr>
        <w:pStyle w:val="Heading1"/>
      </w:pPr>
      <w:r>
        <w:t>Normalised adapter result</w:t>
      </w:r>
    </w:p>
    <w:p>
      <w:r>
        <w:t>Expose entity_id, name, subtype, ordinal rank, optional raw score, optional explainability, query fingerprint, fetched_at and source_mode. The documented Insights envelope uses results.entities. Search and affinity-field paths must be pinned by a redacted private live contract test; the specification does not claim that this task has observed a live payload. A malformed or missing expected envelope produces PROVIDER_SCHEMA_CHANGED.</w:t>
      </w:r>
    </w:p>
    <w:p>
      <w:pPr>
        <w:pStyle w:val="Heading1"/>
      </w:pPr>
      <w:r>
        <w:t>Ranking interpretation</w:t>
      </w:r>
    </w:p>
    <w:p>
      <w:r>
        <w:t>Use ordinal ranks within a fixed candidate query, not averages of raw scores across requests. Provider scores are not attendance probabilities. A missing anchor is unknown; it is not a negative preference. A single returned candidate has neutral rank utility. Raw provider values are preserved only for audit and never displayed as a purchase likelihood.</w:t>
      </w:r>
    </w:p>
    <w:p>
      <w:pPr>
        <w:pStyle w:val="Heading1"/>
      </w:pPr>
      <w:r>
        <w:t>Catalogue mapping</w:t>
      </w:r>
    </w:p>
    <w:p>
      <w:r>
        <w:t>Each experience has one to three venue-reviewed book anchors, with a stated reason the anchor relates to the programme. These mappings are the product's interpretation, not a Qloo endorsement of an artwork. The shared universe contains at most 30 anchors. An experience without approved anchors can be booked manually but cannot be labelled as a Qloo-assisted recommendation.</w:t>
      </w:r>
    </w:p>
    <w:p>
      <w:pPr>
        <w:pStyle w:val="Heading1"/>
      </w:pPr>
      <w:r>
        <w:t>Reliability and limits</w:t>
      </w:r>
    </w:p>
    <w:p>
      <w:r>
        <w:t>Set an 8-second timeout, maximum four concurrent provider calls and a 24-call job budget including retries. Twenty group queries leave four retry opportunities. Entity search has separate per-user limits. Retry transient 429 and 5xx failures at most once within the remaining budget; honour Retry-After or fail visibly when the job deadline would be exceeded. Do not retry 401, 403 or validation failures unchanged.</w:t>
      </w:r>
    </w:p>
    <w:p>
      <w:pPr>
        <w:pStyle w:val="Heading1"/>
      </w:pPr>
      <w:r>
        <w:t>Private caching and release checks</w:t>
      </w:r>
    </w:p>
    <w:p>
      <w:r>
        <w:t>Use a private database cache keyed by environment, canonical parameters and catalogue version, with a proposed 24-hour freshness TTL. Never publish provider response dumps in source control. Confirm key access, entity lookup, fixed-universe completeness, explanation metadata and parser fields with a live key before submission. Cache hits must remain visibly labelled cached, with their original timestamp.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D10, D13, D19, D22</w:t>
      </w:r>
    </w:p>
    <w:p>
      <w:pPr>
        <w:spacing w:after="60"/>
      </w:pPr>
      <w:r>
        <w:rPr>
          <w:sz w:val="18"/>
        </w:rPr>
        <w:t xml:space="preserve">SRC02  </w:t>
      </w:r>
      <w:hyperlink r:id="rId10">
        <w:r>
          <w:rPr>
            <w:sz w:val="18"/>
            <w:color w:val="000000"/>
            <w:u w:val="single"/>
          </w:rPr>
          <w:t>Qloo hackathon developer guide</w:t>
        </w:r>
      </w:hyperlink>
    </w:p>
    <w:p>
      <w:pPr>
        <w:spacing w:after="60"/>
      </w:pPr>
      <w:r>
        <w:rPr>
          <w:sz w:val="18"/>
        </w:rPr>
        <w:t xml:space="preserve">SRC03  </w:t>
      </w:r>
      <w:hyperlink r:id="rId11">
        <w:r>
          <w:rPr>
            <w:sz w:val="18"/>
            <w:color w:val="000000"/>
            <w:u w:val="single"/>
          </w:rPr>
          <w:t>Qloo entity search reference</w:t>
        </w:r>
      </w:hyperlink>
    </w:p>
    <w:p>
      <w:pPr>
        <w:spacing w:after="60"/>
      </w:pPr>
      <w:r>
        <w:rPr>
          <w:sz w:val="18"/>
        </w:rPr>
        <w:t xml:space="preserve">SRC04  </w:t>
      </w:r>
      <w:hyperlink r:id="rId12">
        <w:r>
          <w:rPr>
            <w:sz w:val="18"/>
            <w:color w:val="000000"/>
            <w:u w:val="single"/>
          </w:rPr>
          <w:t>Qloo Insights parameter reference</w:t>
        </w:r>
      </w:hyperlink>
    </w:p>
    <w:p>
      <w:pPr>
        <w:spacing w:after="60"/>
      </w:pPr>
      <w:r>
        <w:rPr>
          <w:sz w:val="18"/>
        </w:rPr>
        <w:t xml:space="preserve">SRC05  </w:t>
      </w:r>
      <w:hyperlink r:id="rId13">
        <w:r>
          <w:rPr>
            <w:sz w:val="18"/>
            <w:color w:val="000000"/>
            <w:u w:val="single"/>
          </w:rPr>
          <w:t>Qloo affinity interpretation</w:t>
        </w:r>
      </w:hyperlink>
    </w:p>
    <w:p>
      <w:pPr>
        <w:spacing w:after="60"/>
      </w:pPr>
      <w:r>
        <w:rPr>
          <w:sz w:val="18"/>
        </w:rPr>
        <w:t xml:space="preserve">SRC06  </w:t>
      </w:r>
      <w:hyperlink r:id="rId14">
        <w:r>
          <w:rPr>
            <w:sz w:val="18"/>
            <w:color w:val="000000"/>
            <w:u w:val="single"/>
          </w:rPr>
          <w:t>Qloo recommendation response example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qloo.com/reference/qloo-llm-hackathon-developer-guide" TargetMode="External"/><Relationship Id="rId11" Type="http://schemas.openxmlformats.org/officeDocument/2006/relationships/hyperlink" Target="https://github.com/qloo/docs-public/blob/main/reference/get-search.md" TargetMode="External"/><Relationship Id="rId12" Type="http://schemas.openxmlformats.org/officeDocument/2006/relationships/hyperlink" Target="https://github.com/qloo/docs-public/blob/main/reference/insights-api-deep-dive.md" TargetMode="External"/><Relationship Id="rId13" Type="http://schemas.openxmlformats.org/officeDocument/2006/relationships/hyperlink" Target="https://github.com/qloo/docs-public/blob/main/docs/interpreting-affinity-scores.md" TargetMode="External"/><Relationship Id="rId14" Type="http://schemas.openxmlformats.org/officeDocument/2006/relationships/hyperlink" Target="https://github.com/qloo/docs-public/blob/main/reference/basic-insights-use-cas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Qloo API Integration Specification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