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Rules and Constraints Document</w:t>
      </w:r>
    </w:p>
    <w:p>
      <w:r>
        <w:rPr>
          <w:sz w:val="18"/>
        </w:rPr>
        <w:t>D14  |  Version 0.1  |  12 October 2026</w:t>
      </w:r>
    </w:p>
    <w:p>
      <w:r>
        <w:t>Provide the normative business invariants and state transitions.</w:t>
      </w:r>
    </w:p>
    <w:p>
      <w:pPr>
        <w:pStyle w:val="Heading1"/>
      </w:pPr>
      <w:r>
        <w:t>Normative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Rule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Enforcement point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All participants are adults; collect an adult declaration, not date of birth.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One currency GBP and integer pence throughout MVP.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Quote and API validation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Coalitions contain 2 to 4 explicitly sharing-consenting groups.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Solver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The same slot must satisfy every included group's exact availability interval.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Solver and confirmation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All-in quoted ticket price must not exceed any group's declared per-person maximum.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Solver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Declared access requirements must be explicitly supported by the venue; unknown is blocked.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Solver and venue review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Quotes and published versions are immutable. Material changes require new acceptance.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Only one OPEN or READY proposal version can hold a slot. CONFIRMED locks the slot as BOOKED.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Database uniqueness and transaction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 person can hold only one active seat in the current slot; membership in multiple groups does not create extra seats.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 transaction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Expected group attendance is soft planning input; only individual active reservations count toward readiness.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Readiness calculation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All included organisers must accept the current proposal version and sharing arrangement.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Readiness and confirmation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Deadline and capacity checks use database time and row locks.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Every seat mutation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Withdrawal before confirmation can move READY back to OPEN. After confirmation request venue support.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Lifecycle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NOT_COLLECTED is the only MVP payment status. No receipt, paid commitment or refund success claim.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Every booking display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The AI may save drafts but cannot publish terms or confirm a venue booking.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Tool permissions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Provider failure cannot be disguised with synthetic evidence.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Adapter and UI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Sharing a session never entails sharing another group's private membership or individual preferences.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Authorisation and DTO projections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BR18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Cancellation requires actor, reason, timestamp and affected reservation audit.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and operator actions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Proposal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From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To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Required guard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DRAFT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publishes an immutable version; catalogue approval, future deadline and slot exclusivity pass.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All coalition organisers accept current terms and active reservations reach required_seats.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 pre-confirmation withdrawal or organiser reversal makes readiness false.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confirms before deadline; transaction rechecks quote, capacity, readiness and slot.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OPEN or READY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EXPIRED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Database time reaches reservation deadline; release active reservations and slot.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DRAFT or OPEN or READY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CANCELLED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cancels with reason; invalidate reservations and notify in-app.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CONFIRMED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CANCELLED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handles operational cancellation; preserve audit and notify; no automatic refund exists in MVP.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CONFIRMED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records that the experience was delivered; attendance recorded separately.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Version and decision scope</w:t>
      </w:r>
    </w:p>
    <w:p>
      <w:r>
        <w:t>Decisions and reservations attach to proposal_version_id. A material revision creates a new immutable version and releases old active seats. Availability, experience, price, included groups and supported access conditions are material. Copy correction can amend a display note only if it does not alter terms and remains audited.</w:t>
      </w:r>
    </w:p>
    <w:p>
      <w:pPr>
        <w:pStyle w:val="Heading1"/>
      </w:pPr>
      <w:r>
        <w:t>Readiness predicate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>ready = all_included_organisers_accept_current_version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  and active_seats &gt;= required_seats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  and active_seats &lt;= capacity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  and db_now &lt; reservation_deadline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  and quote_is_current</w:t>
      </w:r>
    </w:p>
    <w:p>
      <w:pPr>
        <w:spacing w:after="20" w:line="240" w:lineRule="auto"/>
      </w:pPr>
      <w:r>
        <w:rPr>
          <w:rFonts w:ascii="DejaVu Sans Mono" w:hAnsi="DejaVu Sans Mono" w:eastAsia="DejaVu Sans Mono" w:cs="DejaVu Sans Mono"/>
          <w:sz w:val="18"/>
        </w:rPr>
        <w:t xml:space="preserve">    and slot_is_held_by_this_proposal</w:t>
      </w:r>
    </w:p>
    <w:p>
      <w:pPr>
        <w:pStyle w:val="Heading1"/>
      </w:pPr>
      <w:r>
        <w:t>Exceptions</w:t>
      </w:r>
    </w:p>
    <w:p>
      <w:r>
        <w:t>Only the operator can manage an exceptional cancellation or support workflow, with a reason. Operators cannot override adult declarations, privacy permissions, confirmed capacity or user consent. A special delivery arrangement is represented by a newly approved quote or catalogue version and re-acceptance.</w:t>
      </w:r>
    </w:p>
    <w:p>
      <w:pPr>
        <w:pStyle w:val="Heading1"/>
      </w:pPr>
      <w:r>
        <w:t>Commercial boundary</w:t>
      </w:r>
    </w:p>
    <w:p>
      <w:r>
        <w:t>Fees and demand assumptions remain hypotheses. A reservation is a stated intention, and attendance is recorded after delivery. Paid conversion belongs to a later money-handling release. Published programme costs and terms must be approved by the institution that delivers them.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D05, D10, D13, D26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and Constraints Document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