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Schema and Data Model</w:t>
      </w:r>
    </w:p>
    <w:p>
      <w:r>
        <w:rPr>
          <w:sz w:val="18"/>
        </w:rPr>
        <w:t>D15  |  Version 0.1  |  12 October 2026</w:t>
      </w:r>
    </w:p>
    <w:p>
      <w:r>
        <w:t>Define the proposed relational model, integrity rules and access strategy.</w:t>
      </w:r>
    </w:p>
    <w:p>
      <w:pPr>
        <w:pStyle w:val="Heading1"/>
      </w:pPr>
      <w:r>
        <w:t>Data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Entity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Key fields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Responsibility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id; mode; city; timezone; expires_at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Pilot exchange or isolated judge sandbox.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organisations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id; workspace_id; kind; name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or community organisation.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memberships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workspace_id; organisation_id; user_id; role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manager, organiser or participant authority.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operator_memberships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workspace_id; user_id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Audited workspace-wide operator access.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groups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id; organisation_id; organiser_user_id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Community demand owner.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group_memberships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workspace_id; group_id; user_id; role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Explicit organiser or participant membership in a group.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invites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workspace_id; group_id; token_hash; expires_at; maximum_uses; uses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Scoped member invitation; raw token never stored.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group_briefs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group_id; version; budget_pence; expected_seats; availability; sharing_consent; access_requirements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Immutable structured demand snapshot; optional meaning private.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group_references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brief_id; input_label; entity_id; subtype; declared_meaning; resolved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Consented cultural references; ambiguous entries unresolved.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experiences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id; venue_organisation_id; version; approval_status; title; access_support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Deliverable venue programme.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experience_anchors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experience_id; entity_id; subtype; mapping_reason; approved_by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Venue-reviewed relation to book-domain cultural anchors.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quotes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experience_id; version; fixed_pence; variable_pence; platform_fee_pence; ticket_pence; minimum_venue_charge_pence; venue_min_seats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Immutable quoted economics.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slots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experience_id; start_at; end_at; capacity; status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Physical delivery capacity and exact UTC time.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match_runs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workspace_id; requested_by; state; snapshot_hash; lease_until; call_count; checkpoint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Durable bounded agent job.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evidence_records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run_id; source_mode; query_hash; entity_id; rank; fetched_at; expires_at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Minimal returned cultural evidence; private provider data.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proposals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workspace_id; slot_id; state; current_version_id; created_by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Lifecycle owner; one active proposal per slot.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proposal_versions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proposal_id; version; quote_id; required_seats; deadline; terms_hash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Immutable offered terms.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proposal_groups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workspace_id; proposal_version_id; group_id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Validated coalition relation; included_group_ids is an API projection.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group_decisions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proposal_version_id; group_id; decision; reason_category; actor_id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Current-version organiser response.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reservations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proposal_version_id; slot_id; participant_id; group_id; status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Individual one-seat reservation; unique active participant per slot.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audit_events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workspace_id; actor_id; action; object_id; request_id; created_at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Append-only operational trace with redacted payload.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idempotency_records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workspace_id; actor_id; route; key_hash; payload_hash; response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Replay control for writes.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qloo_cache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workspace_id; query_hash; payload; fetched_at; expires_at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Private cache; segregated from public fixtures.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consents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workspace_id; user_id; purpose; version; accepted_at; revoked_at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Independent provider, sharing and optional-input choices.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Relationships</w:t>
      </w:r>
    </w:p>
    <w:p>
      <w:r>
        <w:t>A workspace contains organisations. A community organisation owns groups and group briefs. A venue organisation owns experiences, anchor mappings, quotes and slots. Proposals connect one slot to several groups through immutable versions and decisions. Each individual reservation references a current version and the reserving group. Jobs and evidence remain scoped to their workspace.</w:t>
      </w:r>
    </w:p>
    <w:p>
      <w:pPr>
        <w:pStyle w:val="Heading1"/>
      </w:pPr>
      <w:r>
        <w:t>Database constraints</w:t>
      </w:r>
    </w:p>
    <w:p>
      <w:pPr>
        <w:pStyle w:val="ListBullet"/>
      </w:pPr>
      <w:r>
        <w:t>Use composite foreign keys containing workspace_id to prevent references crossing workspace boundaries.</w:t>
      </w:r>
    </w:p>
    <w:p>
      <w:pPr>
        <w:pStyle w:val="ListBullet"/>
      </w:pPr>
      <w:r>
        <w:t>Ensure every slot belongs to the experience named by its quote and proposal version.</w:t>
      </w:r>
    </w:p>
    <w:p>
      <w:pPr>
        <w:pStyle w:val="ListBullet"/>
      </w:pPr>
      <w:r>
        <w:t>Enforce positive capacity, nonnegative money and start_at &lt; end_at.</w:t>
      </w:r>
    </w:p>
    <w:p>
      <w:pPr>
        <w:pStyle w:val="ListBullet"/>
      </w:pPr>
      <w:r>
        <w:t>Use a partial unique index for one active proposal per slot and one active participant reservation per slot.</w:t>
      </w:r>
    </w:p>
    <w:p>
      <w:pPr>
        <w:pStyle w:val="ListBullet"/>
      </w:pPr>
      <w:r>
        <w:t>Use unique proposal-version and group pairs for decisions; append new revisions rather than overwriting terms.</w:t>
      </w:r>
    </w:p>
    <w:p>
      <w:pPr>
        <w:pStyle w:val="ListBullet"/>
      </w:pPr>
      <w:r>
        <w:t>Store private meanings and raw provider cache in tables without public grants.</w:t>
      </w:r>
    </w:p>
    <w:p>
      <w:pPr>
        <w:pStyle w:val="Heading1"/>
      </w:pPr>
      <w:r>
        <w:t>Access policy</w:t>
      </w:r>
    </w:p>
    <w:p>
      <w:r>
        <w:t>The reference schema enables RLS and denies direct anon and authenticated data-table access until explicit policies are implemented. User-facing reads use reviewed projections. Guarded functions or server services validate membership, ownership and object versions. Service-role access bypasses RLS, so its server code must perform independent authorisation; a route containing a supplied object ID is not sufficient.</w:t>
      </w:r>
    </w:p>
    <w:p>
      <w:pPr>
        <w:pStyle w:val="Heading1"/>
      </w:pPr>
      <w:r>
        <w:t>Atomic write functions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056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Proposed function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Required transaction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publish_proposal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Validate manager; invalidate old version; hold slot; insert immutable version and audit.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respond_to_proposal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Validate group organiser; upsert current decision; recalculate readiness.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reserve_seat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Validate participant; lock rows; enforce capacity and uniqueness; record seat and readiness.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withdraw_seat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Release own pre-confirmation seat and recalculate state.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confirm_booking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Validate venue; recheck every readiness guard; book slot and write audit.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expire_proposals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Check database deadlines; release seats and holds idempotently.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Reference schema status</w:t>
      </w:r>
    </w:p>
    <w:p>
      <w:r>
        <w:t>specs/schema.sql is a design reference with entities, constraints and fail-closed permissions. It is not a deploy-ready migration: implement and test the guarded functions and role projections before granting application access. No live database was created by this task.</w:t>
      </w:r>
    </w:p>
    <w:p>
      <w:pPr>
        <w:pStyle w:val="Heading1"/>
      </w:pPr>
      <w:r>
        <w:t>Retention and migration</w:t>
      </w:r>
    </w:p>
    <w:p>
      <w:r>
        <w:t>Proposed retention is defined in D19. Use additive reviewed migrations before destructive changes. Preserve version and audit relationships during export and deletion; pseudonymise personal identifiers where a justified record must remain. Verify backup restore and deletion behaviour before a real pilot.</w:t>
      </w:r>
    </w:p>
    <w:p>
      <w:pPr>
        <w:keepNext/>
        <w:spacing w:before="100" w:after="60"/>
      </w:pPr>
      <w:r>
        <w:rPr>
          <w:b/>
          <w:sz w:val="18"/>
        </w:rPr>
        <w:t>References</w:t>
      </w:r>
    </w:p>
    <w:p>
      <w:pPr>
        <w:spacing w:after="60"/>
      </w:pPr>
      <w:r>
        <w:rPr>
          <w:sz w:val="18"/>
        </w:rPr>
        <w:t>Related documents D10, D16, D19, D23</w:t>
      </w:r>
    </w:p>
    <w:p>
      <w:pPr>
        <w:spacing w:after="60"/>
      </w:pPr>
      <w:r>
        <w:rPr>
          <w:sz w:val="18"/>
        </w:rPr>
        <w:t xml:space="preserve">SRC10  </w:t>
      </w:r>
      <w:hyperlink r:id="rId10">
        <w:r>
          <w:rPr>
            <w:sz w:val="18"/>
            <w:color w:val="000000"/>
            <w:u w:val="single"/>
          </w:rPr>
          <w:t>Supabase Row Level Security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D15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upabase.com/docs/guides/database/postgres/row-level-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Schema and Data Model</dc:title>
  <dc:subject>Shared Cultural Bookings proposed implementation specification</dc:subject>
  <dc:creator>Vasudha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