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System and Component Library</w:t>
      </w:r>
    </w:p>
    <w:p>
      <w:r>
        <w:rPr>
          <w:sz w:val="18"/>
        </w:rPr>
        <w:t>D18  |  Version 0.1  |  12 October 2026</w:t>
      </w:r>
    </w:p>
    <w:p>
      <w:r>
        <w:t>Specify shared interface tokens and component behaviour.</w:t>
      </w:r>
    </w:p>
    <w:p>
      <w:pPr>
        <w:pStyle w:val="Heading1"/>
      </w:pPr>
      <w:r>
        <w:t>Design direction</w:t>
      </w:r>
    </w:p>
    <w:p>
      <w:r>
        <w:t>Use a restrained institutional feel with warm neutral surfaces and deep green actions. Typography and spacing should make terms easy to read. Cultural imagery may be used only with a verified licence and an accurate relationship to the venue; fabricated institutional branding is excluded.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592"/>
        <w:gridCol w:w="583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Token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Proposed value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Usage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colour.text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#1C2421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Primary text; readable against the canvas.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colour.canvas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#FAF9F6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Page background.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colour.surface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#FFFFFF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Forms and content surfaces.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colour.primary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#245A45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Primary actions; contrast must be checked in implementation.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colour.muted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#58635D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Secondary text.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colour.border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#D5DBD6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Subtle boundaries; not relied on alone for meaning.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colour.danger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#A52424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Blocking errors with text and icon.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colour.warning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#7A4A00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Warnings and revision notices.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type.body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16px / 1.5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System sans-serif stack; no remote font required.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type.heading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24 to 36px / 1.2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Clear hierarchy without decorative slogans.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space.scale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4 8 12 16 24 32 48px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Consistent responsive spacing.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radius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8px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Controls and surfaces.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target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44 by 44px preferred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Comfortable touch target; evaluate accessibility exceptions.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592"/>
        <w:gridCol w:w="583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Variants or states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Behaviour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Button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primary secondary destructive loading disabled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Accessible name; prevent duplicate action; preserve focus.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MoneyField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GBP pence value with formatted display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Parse whole pennies; reject invalid or negative values.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DateTimeField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timezone and exact slot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Resolve DST ambiguity before submission.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ReferencePicker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searching choices selected unresolved failed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Selection stores actual provider ID and disambiguation.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ConsentChoice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purpose text version accepted revoked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Separate purposes; no preselected acceptance.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ExperienceCard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approved programme and quote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 invented image, affiliation or availability.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CoalitionSummary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included group summaries and coverage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 private identities or averaged-away rejection.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EvidenceDisclosure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live cached synthetic unavailable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Always show original timestamp where relevant.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ReadinessPanel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OPEN READY CONFIRMED EXPIRED CANCELLED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Reserved count, threshold and payment meaning.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RevisionNotice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previous and new version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Require explicit renewed action.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ErrorSummary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field errors and recoverable system failure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Focus first error; link to field; retain entered content.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EmptyState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none feasible or provider unavailable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Explain a supported next action.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DemoRoleSwitcher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organiser participant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Available only with scoped synthetic sandbox capability.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Implementation contract</w:t>
      </w:r>
    </w:p>
    <w:p>
      <w:r>
        <w:t>Implement components in React and TypeScript, using semantic HTML as the default. Keep domain status enums shared with the API. Separate visual variants from authorisation; a hidden button is not a permission check. Each interactive component must expose accessible labels, focus states and error relationships.</w:t>
      </w:r>
    </w:p>
    <w:p>
      <w:pPr>
        <w:pStyle w:val="Heading1"/>
      </w:pPr>
      <w:r>
        <w:t>Responsive layouts</w:t>
      </w:r>
    </w:p>
    <w:p>
      <w:r>
        <w:t>Use one content column on mobile and a maximum two-column decision layout on desktop. Avoid compressing comparison tables into unreadable columns; offer stacked comparisons with the same labels. Keep primary actions close to their relevant terms and visible status.</w:t>
      </w:r>
    </w:p>
    <w:p>
      <w:pPr>
        <w:pStyle w:val="Heading1"/>
      </w:pPr>
      <w:r>
        <w:t>Motion and colour</w:t>
      </w:r>
    </w:p>
    <w:p>
      <w:r>
        <w:t>Use short transition feedback only when it clarifies state. Respect prefers-reduced-motion. Never indicate acceptance, errors or provenance by colour alone. Contrast values in specs/design_tokens.json are proposed tokens and require measured verification.</w:t>
      </w:r>
    </w:p>
    <w:p>
      <w:pPr>
        <w:pStyle w:val="Heading1"/>
      </w:pPr>
      <w:r>
        <w:t>Component acceptance</w:t>
      </w:r>
    </w:p>
    <w:p>
      <w:r>
        <w:t>The library is a specification, not an implemented Storybook. D21 defines tests for keyboard behaviour, screen-reader announcements, mobile layout and displayed money. Implement a minimal component showcase before the final demo review.</w:t>
      </w:r>
    </w:p>
    <w:p>
      <w:pPr>
        <w:keepNext/>
        <w:spacing w:before="100" w:after="60"/>
      </w:pPr>
      <w:r>
        <w:rPr>
          <w:b/>
          <w:sz w:val="18"/>
        </w:rPr>
        <w:t>References</w:t>
      </w:r>
    </w:p>
    <w:p>
      <w:pPr>
        <w:spacing w:after="60"/>
      </w:pPr>
      <w:r>
        <w:rPr>
          <w:sz w:val="18"/>
        </w:rPr>
        <w:t>Related documents D17, D21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D18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System and Component Library</dc:title>
  <dc:subject>Shared Cultural Bookings proposed implementation specification</dc:subject>
  <dc:creator>Vasudha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