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and Quality Assurance Plan</w:t>
      </w:r>
    </w:p>
    <w:p>
      <w:r>
        <w:rPr>
          <w:sz w:val="18"/>
        </w:rPr>
        <w:t>D21  |  Version 0.1  |  12 October 2026</w:t>
      </w:r>
    </w:p>
    <w:p>
      <w:r>
        <w:t>Define meaningful tests for product behaviour and failure recovery.</w:t>
      </w:r>
    </w:p>
    <w:p>
      <w:pPr>
        <w:pStyle w:val="Heading1"/>
      </w:pPr>
      <w:r>
        <w:t>Test strategy</w:t>
      </w:r>
    </w:p>
    <w:p>
      <w:r>
        <w:t>Use unit tests for arithmetic, ranks and predicates; database integration tests for permissions and state mutations; private provider contract tests for Qloo; browser tests for user journeys; and adversarial tests for injection and public demo abuse. Do not substitute UI snapshots for transaction or authorisation checks.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592"/>
        <w:gridCol w:w="2664"/>
        <w:gridCol w:w="302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Setup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R01 N01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Venue, organiser, participant, operator and separate sandbox identities.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Every allowed role action succeeds; wrong-workspace and wrong-object actions reveal no private data.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R02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Unapproved programme, expired quote, negative price and overlapping slot.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Publication blocked; a valid reviewed offer stores an immutable quote.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R03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Incomplete brief, missing sharing consent and conflicting time fields.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Draft saves; matching rejects missing fields with specific corrections.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R04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Ambiguous title and no search result.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Human selection required; unresolved reference has no fabricated entity ID.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R05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Live provider contract, cached hit, 401, 429, empty and malformed payload.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Correct source labels, bounded retry and schema-drift failure.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R06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Unreviewed mapping and organiser-edited meaning.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Unapproved anchor not scored; corrected declared meaning retained.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R07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Disjoint time, blocked access, budgets, capacity and known synthetic rank matrix.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Zero hard violations; deterministic feasible ranking with stable ties.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R08 N06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Injected instruction and fake evidence reference in generated explanation.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Unsafe instruction ignored; ungrounded output rejected or replaced by template.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R09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Change price or included groups after acceptance and seats.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New version invalidates decisions and releases old active seats.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R10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Organiser accepts, declines and reverses current decision.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Only included organiser can act; readiness recalculates.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R11 N02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50 concurrent attempts for remaining seats; duplicate participant and idempotent retry.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over-capacity or duplicate seat; one replay result; same key with changed payload conflicts.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R12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Concurrent confirm, stale quote, withdrawn seat and manager from another venue.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Only valid current readiness confirms; one slot booked atomically.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R13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Expired deadline, pre-confirm withdrawal and confirmed cancellation.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Correct state, released seats, retained audit and in-app notification.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R14 N05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Terminate worker after provider result or draft write.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Expired lease resumes without duplicate draft; bounded terminal failure.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R15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Two judges create and reset sessions; forged workspace or role.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Distinct workspaces; no pilot access; reset does not affect another judge.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R16 N07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Withdraw external-query consent, export and account deletion.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further optional query; scoped export; sessions revoked and erasure scheduled.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R17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Paired benchmark case and delivery outcome events.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duplicate counted event; same feasible inventory and clear synthetic status.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R18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 cancellation, venue verification and unauthorised support action.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Scoped authority, mandatory reason and append-only audit.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T19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N03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Representative maximum-bound jobs and transaction load.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Measure p50 and p95; meet targets or record honest failure.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T20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N04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Keyboard, screen reader, 320px viewport and 200% text zoom.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Critical actions, errors and status remain accessible.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N08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Provider fault, secret scan and simulated incident.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Traceable request IDs; no sensitive text or secrets in logs and bundles.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N09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Clean checkout, fresh database and configured secrets.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Setup reproduces synthetic sandbox; dependency versions pinned.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N10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External browser without private session.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End-to-end usable hosted demo and public repository links.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Fixtures</w:t>
      </w:r>
    </w:p>
    <w:p>
      <w:r>
        <w:t>specs/synthetic_fixture.json uses fictional communities, programmes and ranks with source_mode=synthetic. It intentionally has no invented Qloo IDs. Private live captures used for contract tests must be redacted, access-controlled and excluded from public Git. The synthetic economic scenario is not a real venue quote.</w:t>
      </w:r>
    </w:p>
    <w:p>
      <w:pPr>
        <w:pStyle w:val="Heading1"/>
      </w:pPr>
      <w:r>
        <w:t>Test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Provider mode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Data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Unit and CI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Deterministic synthetic adapter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Synthetic only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Staging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Private live Qloo key with quotas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Approved fixture catalogue; test users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Judge demo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Live Qloo or visibly labelled cached evidence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Isolated synthetic workspace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Real pilot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Approved live integrations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Consented real groups; documented delivery terms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Release blockers</w:t>
      </w:r>
    </w:p>
    <w:p>
      <w:r>
        <w:t>Any cross-workspace exposure, secret leak, capacity overflow, fabricated provenance, unauthorised confirmation or false payment claim blocks release. A noncritical visual defect may be triaged with owner and deadline; unresolved core journey failure cannot be accepted as a cosmetic issue.</w:t>
      </w:r>
    </w:p>
    <w:p>
      <w:pPr>
        <w:pStyle w:val="Heading1"/>
      </w:pPr>
      <w:r>
        <w:t>Evidence recording</w:t>
      </w:r>
    </w:p>
    <w:p>
      <w:r>
        <w:t>Record commit, configuration, test mode, result and date for each release check. This documentation task validates the reference assets and document pack only; it does not claim that the application tests have run. The test matrix is an implementation plan.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D03, D20, D26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D21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and Quality Assurance Plan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