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 and Infrastructure Specification</w:t>
      </w:r>
    </w:p>
    <w:p>
      <w:r>
        <w:rPr>
          <w:sz w:val="18"/>
        </w:rPr>
        <w:t>D23  |  Version 0.1  |  12 October 2026</w:t>
      </w:r>
    </w:p>
    <w:p>
      <w:r>
        <w:t>Specify environments, secrets, job scheduling and release recovery.</w:t>
      </w:r>
    </w:p>
    <w:p>
      <w:pPr>
        <w:pStyle w:val="Heading1"/>
      </w:pPr>
      <w:r>
        <w:t>Deployment topology</w:t>
      </w:r>
    </w:p>
    <w:p>
      <w:r>
        <w:t>Host the Next.js application on Vercel and use a Supabase project for Auth, PostgreSQL and bounded Edge Function workers. Use separate staging and judge-demo projects or strictly isolated workspaces with tested permissions; real pilot identities must not exist in public judge sandboxes.</w:t>
      </w:r>
    </w:p>
    <w:p>
      <w:pPr>
        <w:pStyle w:val="Heading1"/>
      </w:pPr>
      <w:r>
        <w:t>Environment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2592"/>
        <w:gridCol w:w="5832"/>
      </w:tblGrid>
      <w:tr>
        <w:trPr>
          <w:tblHeader/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EAEFEC"/>
          </w:tcPr>
          <w:p>
            <w:pPr>
              <w:keepNext w:val="0"/>
              <w:spacing w:after="60" w:before="40" w:line="259" w:lineRule="auto"/>
            </w:pPr>
            <w:r>
              <w:rPr>
                <w:b/>
                <w:sz w:val="20"/>
              </w:rPr>
              <w:t>Meaning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NEXT_PUBLIC_SUPABASE_URL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Browser and server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Supabase project endpoint; public configuration.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NEXT_PUBLIC_SUPABASE_ANON_KEY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Browser and server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Public project key; safe only with grants and policies.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SUPABASE_SERVICE_ROLE_KEY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Trusted server and worker only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Privileged database access; never in browser bundle.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QLOO_BASE_URL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Worker only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https://hackathon.api.qloo.com for hackathon key.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QLOO_API_KEY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Worker only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Secret; no value provided in the pack.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LLM_PROVIDER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Worker only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Selected provider adapter; pin model at implementation.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LLM_MODEL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Worker only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Explicit tested model identifier; unresolved until chosen.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LLM_API_KEY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Worker only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Secret if a live LLM is enabled.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WORKER_TRIGGER_SECRET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API and worker only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Authenticate internal job invocation.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DEMO_CAPABILITY_SECRET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Application server only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Sign isolated expiring judge sessions.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APP_BASE_URL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Server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Canonical published HTTPS origin.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DEMO_MODE</w:t>
            </w:r>
          </w:p>
        </w:tc>
        <w:tc>
          <w:tcPr>
            <w:tcW w:type="dxa" w:w="25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Server</w:t>
            </w:r>
          </w:p>
        </w:tc>
        <w:tc>
          <w:tcPr>
            <w:tcW w:type="dxa" w:w="583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spacing w:after="60" w:before="40" w:line="259" w:lineRule="auto"/>
            </w:pPr>
            <w:r>
              <w:rPr>
                <w:b w:val="0"/>
                <w:sz w:val="20"/>
              </w:rPr>
              <w:t>Synthetic-workspace controls; never enables pilot role switching.</w:t>
            </w:r>
          </w:p>
        </w:tc>
      </w:tr>
    </w:tbl>
    <w:p>
      <w:pPr>
        <w:spacing w:after="60" w:before="0" w:line="60" w:lineRule="exact"/>
      </w:pPr>
    </w:p>
    <w:p>
      <w:pPr>
        <w:pStyle w:val="Heading1"/>
      </w:pPr>
      <w:r>
        <w:t>Job dispatch</w:t>
      </w:r>
    </w:p>
    <w:p>
      <w:r>
        <w:t>The API stores a job and triggers an authenticated worker invocation after commit. The worker leases the job and checkpoints stages. Supabase pg_cron can expire proposals and retry QUEUED or abandoned RUNNING jobs. Test pg_cron and worker invocation in the selected Supabase plan. Do not rely on minute-level Vercel Hobby cron; its plan-specific limits must be checked before any scheduler choice.</w:t>
      </w:r>
    </w:p>
    <w:p>
      <w:pPr>
        <w:pStyle w:val="Heading1"/>
      </w:pPr>
      <w:r>
        <w:t>Release sequence</w:t>
      </w:r>
    </w:p>
    <w:p>
      <w:pPr>
        <w:pStyle w:val="ListBullet"/>
      </w:pPr>
      <w:r>
        <w:t>Pin compatible dependency versions and commit a lockfile.</w:t>
      </w:r>
    </w:p>
    <w:p>
      <w:pPr>
        <w:pStyle w:val="ListBullet"/>
      </w:pPr>
      <w:r>
        <w:t>Apply reviewed schema, functions, grants and policies to staging; run permission and transaction tests.</w:t>
      </w:r>
    </w:p>
    <w:p>
      <w:pPr>
        <w:pStyle w:val="ListBullet"/>
      </w:pPr>
      <w:r>
        <w:t>Configure secrets in hosted secret stores; keep .env.example values blank.</w:t>
      </w:r>
    </w:p>
    <w:p>
      <w:pPr>
        <w:pStyle w:val="ListBullet"/>
      </w:pPr>
      <w:r>
        <w:t>Seed only synthetic demo organisations and cultural labels; resolve real Qloo IDs at runtime or through private setup.</w:t>
      </w:r>
    </w:p>
    <w:p>
      <w:pPr>
        <w:pStyle w:val="ListBullet"/>
      </w:pPr>
      <w:r>
        <w:t>Deploy a preview and complete external end-to-end verification.</w:t>
      </w:r>
    </w:p>
    <w:p>
      <w:pPr>
        <w:pStyle w:val="ListBullet"/>
      </w:pPr>
      <w:r>
        <w:t>Promote the tested version to the final URL and record the deployment commit.</w:t>
      </w:r>
    </w:p>
    <w:p>
      <w:pPr>
        <w:pStyle w:val="Heading1"/>
      </w:pPr>
      <w:r>
        <w:t>Monitoring and costs</w:t>
      </w:r>
    </w:p>
    <w:p>
      <w:r>
        <w:t>Monitor API error rate, provider-call consumption, job timeouts, abandoned leases, catalogue drift, expiry processing and unexpected privileged actions. Set spend and quota alerts using available provider controls. Any cash budget is unresolved; obtain actual plan pricing before a real deployment commitment.</w:t>
      </w:r>
    </w:p>
    <w:p>
      <w:pPr>
        <w:pStyle w:val="Heading1"/>
      </w:pPr>
      <w:r>
        <w:t>Rollback and restore</w:t>
      </w:r>
    </w:p>
    <w:p>
      <w:r>
        <w:t>Retain the previous application deployment. Use additive migrations and avoid rolling back a database by dropping reservation history. On incident, disable new matching or publication while preserving read-only booking status. Rehearse database restore using synthetic records and confirm that active slot and reservation invariants survive.</w:t>
      </w:r>
    </w:p>
    <w:p>
      <w:pPr>
        <w:pStyle w:val="Heading1"/>
      </w:pPr>
      <w:r>
        <w:t>Judging support</w:t>
      </w:r>
    </w:p>
    <w:p>
      <w:r>
        <w:t>Keep the published app usable through the official judging period, which ends 16 November 2026 Eastern Time. Hackathon keys are temporary; obtain an appropriate production arrangement before continuing a real service after judging. Recheck official dates before the final submission.</w:t>
      </w:r>
    </w:p>
    <w:p>
      <w:pPr>
        <w:keepNext/>
        <w:spacing w:before="100" w:after="60"/>
      </w:pPr>
      <w:r>
        <w:rPr>
          <w:b/>
          <w:sz w:val="18"/>
        </w:rPr>
        <w:t>References</w:t>
      </w:r>
    </w:p>
    <w:p>
      <w:pPr>
        <w:spacing w:after="60"/>
      </w:pPr>
      <w:r>
        <w:rPr>
          <w:sz w:val="18"/>
        </w:rPr>
        <w:t>Related documents D09, D19, D24, D28</w:t>
      </w:r>
    </w:p>
    <w:p>
      <w:pPr>
        <w:spacing w:after="60"/>
      </w:pPr>
      <w:r>
        <w:rPr>
          <w:sz w:val="18"/>
        </w:rPr>
        <w:t xml:space="preserve">SRC10  </w:t>
      </w:r>
      <w:hyperlink r:id="rId10">
        <w:r>
          <w:rPr>
            <w:sz w:val="18"/>
            <w:color w:val="000000"/>
            <w:u w:val="single"/>
          </w:rPr>
          <w:t>Supabase Row Level Security</w:t>
        </w:r>
      </w:hyperlink>
    </w:p>
    <w:p>
      <w:pPr>
        <w:spacing w:after="60"/>
      </w:pPr>
      <w:r>
        <w:rPr>
          <w:sz w:val="18"/>
        </w:rPr>
        <w:t xml:space="preserve">SRC11  </w:t>
      </w:r>
      <w:hyperlink r:id="rId11">
        <w:r>
          <w:rPr>
            <w:sz w:val="18"/>
            <w:color w:val="000000"/>
            <w:u w:val="single"/>
          </w:rPr>
          <w:t>Supabase Cron</w:t>
        </w:r>
      </w:hyperlink>
    </w:p>
    <w:p>
      <w:pPr>
        <w:spacing w:after="60"/>
      </w:pPr>
      <w:r>
        <w:rPr>
          <w:sz w:val="18"/>
        </w:rPr>
        <w:t xml:space="preserve">SRC12  </w:t>
      </w:r>
      <w:hyperlink r:id="rId12">
        <w:r>
          <w:rPr>
            <w:sz w:val="18"/>
            <w:color w:val="000000"/>
            <w:u w:val="single"/>
          </w:rPr>
          <w:t>Vercel Cron usage and pricing</w:t>
        </w:r>
      </w:hyperlink>
    </w:p>
    <w:p>
      <w:pPr>
        <w:spacing w:after="60"/>
      </w:pPr>
      <w:r>
        <w:rPr>
          <w:sz w:val="18"/>
        </w:rPr>
        <w:t xml:space="preserve">SRC08  </w:t>
      </w:r>
      <w:hyperlink r:id="rId13">
        <w:r>
          <w:rPr>
            <w:sz w:val="18"/>
            <w:color w:val="000000"/>
            <w:u w:val="single"/>
          </w:rPr>
          <w:t>Qloo official competition rules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D23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upabase.com/docs/guides/database/postgres/row-level-security" TargetMode="External"/><Relationship Id="rId11" Type="http://schemas.openxmlformats.org/officeDocument/2006/relationships/hyperlink" Target="https://supabase.com/docs/guides/cron" TargetMode="External"/><Relationship Id="rId12" Type="http://schemas.openxmlformats.org/officeDocument/2006/relationships/hyperlink" Target="https://vercel.com/docs/cron-jobs/usage-and-pricing" TargetMode="External"/><Relationship Id="rId13" Type="http://schemas.openxmlformats.org/officeDocument/2006/relationships/hyperlink" Target="https://qloo.devpost.com/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and Infrastructure Specification</dc:title>
  <dc:subject>Shared Cultural Bookings proposed implementation specification</dc:subject>
  <dc:creator>Vasudha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