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Assumptions Risks and Open Questions Register</w:t>
      </w:r>
    </w:p>
    <w:p>
      <w:r>
        <w:rPr>
          <w:sz w:val="18"/>
        </w:rPr>
        <w:t>D27  |  Version 0.1  |  12 October 2026</w:t>
      </w:r>
    </w:p>
    <w:p>
      <w:r>
        <w:t>Make unverified premises and implementation blockers visible.</w:t>
      </w:r>
    </w:p>
    <w:p>
      <w:pPr>
        <w:pStyle w:val="Heading1"/>
      </w:pPr>
      <w:r>
        <w:t>Register status</w:t>
      </w:r>
    </w:p>
    <w:p>
      <w:r>
        <w:t>All entries are open at version 0.1. Owner roles indicate responsibility to assign, not confirmed staffing. No customer interview, venue partnership, paid pilot, live API call or deployed app is evidenced by this documentation task.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296"/>
        <w:gridCol w:w="2880"/>
        <w:gridCol w:w="936"/>
        <w:gridCol w:w="1296"/>
        <w:gridCol w:w="2592"/>
      </w:tblGrid>
      <w:tr>
        <w:trPr>
          <w:tblHeader/>
          <w:cantSplit/>
        </w:trPr>
        <w:tc>
          <w:tcPr>
            <w:tcW w:type="dxa" w:w="936"/>
            <w:vAlign w:val="center"/>
            <w:tcMar>
              <w:top w:w="85" w:type="dxa"/>
              <w:left w:w="85" w:type="dxa"/>
              <w:bottom w:w="85" w:type="dxa"/>
              <w:right w:w="85" w:type="dxa"/>
            </w:tcMar>
            <w:shd w:fill="EAEFEC"/>
          </w:tcPr>
          <w:p>
            <w:pPr>
              <w:keepNext w:val="0"/>
              <w:spacing w:after="60" w:before="40" w:line="259" w:lineRule="auto"/>
            </w:pPr>
            <w:r>
              <w:rPr>
                <w:b/>
                <w:sz w:val="20"/>
              </w:rPr>
              <w:t>ID</w:t>
            </w:r>
          </w:p>
        </w:tc>
        <w:tc>
          <w:tcPr>
            <w:tcW w:type="dxa" w:w="1296"/>
            <w:vAlign w:val="center"/>
            <w:tcMar>
              <w:top w:w="85" w:type="dxa"/>
              <w:left w:w="85" w:type="dxa"/>
              <w:bottom w:w="85" w:type="dxa"/>
              <w:right w:w="85" w:type="dxa"/>
            </w:tcMar>
            <w:shd w:fill="EAEFEC"/>
          </w:tcPr>
          <w:p>
            <w:pPr>
              <w:keepNext w:val="0"/>
              <w:spacing w:after="60" w:before="40" w:line="259" w:lineRule="auto"/>
            </w:pPr>
            <w:r>
              <w:rPr>
                <w:b/>
                <w:sz w:val="20"/>
              </w:rPr>
              <w:t>Type</w:t>
            </w:r>
          </w:p>
        </w:tc>
        <w:tc>
          <w:tcPr>
            <w:tcW w:type="dxa" w:w="2880"/>
            <w:vAlign w:val="center"/>
            <w:tcMar>
              <w:top w:w="85" w:type="dxa"/>
              <w:left w:w="85" w:type="dxa"/>
              <w:bottom w:w="85" w:type="dxa"/>
              <w:right w:w="85" w:type="dxa"/>
            </w:tcMar>
            <w:shd w:fill="EAEFEC"/>
          </w:tcPr>
          <w:p>
            <w:pPr>
              <w:keepNext w:val="0"/>
              <w:spacing w:after="60" w:before="40" w:line="259" w:lineRule="auto"/>
            </w:pPr>
            <w:r>
              <w:rPr>
                <w:b/>
                <w:sz w:val="20"/>
              </w:rPr>
              <w:t>Issue</w:t>
            </w:r>
          </w:p>
        </w:tc>
        <w:tc>
          <w:tcPr>
            <w:tcW w:type="dxa" w:w="936"/>
            <w:vAlign w:val="center"/>
            <w:tcMar>
              <w:top w:w="85" w:type="dxa"/>
              <w:left w:w="85" w:type="dxa"/>
              <w:bottom w:w="85" w:type="dxa"/>
              <w:right w:w="85" w:type="dxa"/>
            </w:tcMar>
            <w:shd w:fill="EAEFEC"/>
          </w:tcPr>
          <w:p>
            <w:pPr>
              <w:keepNext w:val="0"/>
              <w:spacing w:after="60" w:before="40" w:line="259" w:lineRule="auto"/>
            </w:pPr>
            <w:r>
              <w:rPr>
                <w:b/>
                <w:sz w:val="20"/>
              </w:rPr>
              <w:t>Impact</w:t>
            </w:r>
          </w:p>
        </w:tc>
        <w:tc>
          <w:tcPr>
            <w:tcW w:type="dxa" w:w="1296"/>
            <w:vAlign w:val="center"/>
            <w:tcMar>
              <w:top w:w="85" w:type="dxa"/>
              <w:left w:w="85" w:type="dxa"/>
              <w:bottom w:w="85" w:type="dxa"/>
              <w:right w:w="85" w:type="dxa"/>
            </w:tcMar>
            <w:shd w:fill="EAEFEC"/>
          </w:tcPr>
          <w:p>
            <w:pPr>
              <w:keepNext w:val="0"/>
              <w:spacing w:after="60" w:before="40" w:line="259" w:lineRule="auto"/>
            </w:pPr>
            <w:r>
              <w:rPr>
                <w:b/>
                <w:sz w:val="20"/>
              </w:rPr>
              <w:t>Owner role</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Next evidence</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A01</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Assumption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Organisers have a costly booking problem that pooling solves.</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Interview recent failed bookings and test a concrete shared quote.</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A02</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Assumption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Groups accept sharing with other communities.</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Collect explicit sharing decisions; record refusals.</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A03</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Assumption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Venues can deliver approved specialist sessions within available capacity.</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Venue liaison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Obtain real quote, slot and support confirmation.</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A04</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Assumption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The proposed booking fee leaves a sustainable margin.</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Measure revenue, provider costs and manual minutes.</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RISK01</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Public events or free visits already solve the task more simply.</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Check alternatives for every discovery case.</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RISK02</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Qloo fixed-universe responses are sparse or do not cover chosen anchors.</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Engineer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Private live contract test; narrow catalogue; disclose unknowns.</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RISK03</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Cross-domain taste association does not translate into attendance.</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Paired choices, reservations and post-event attendance.</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RISK04</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Reservations overstate reliable demand.</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Label intention accurately; later evaluate cancellations and payment conversion.</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RISK05</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A larger or more articulate group dominates the process.</w:t>
            </w:r>
          </w:p>
        </w:tc>
        <w:tc>
          <w:tcPr>
            <w:tcW w:type="dxa" w:w="936"/>
            <w:vAlign w:val="center"/>
            <w:tcMar>
              <w:top w:w="85" w:type="dxa"/>
              <w:left w:w="85" w:type="dxa"/>
              <w:bottom w:w="85" w:type="dxa"/>
              <w:right w:w="85" w:type="dxa"/>
            </w:tcMar>
          </w:tcPr>
          <w:p>
            <w:pPr>
              <w:keepNext w:val="0"/>
              <w:spacing w:after="60" w:before="40" w:line="259" w:lineRule="auto"/>
            </w:pPr>
            <w:r>
              <w:rPr>
                <w:b w:val="0"/>
                <w:sz w:val="20"/>
              </w:rPr>
              <w:t>Medium</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Equal group weights and explicit veto constraints; monitor omission.</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RISK06</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A provider or LLM creates unsupported cultural explanations.</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Engineer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Validated evidence IDs and template fallback.</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RISK07</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Cross-workspace access or secret exposure in public demo.</w:t>
            </w:r>
          </w:p>
        </w:tc>
        <w:tc>
          <w:tcPr>
            <w:tcW w:type="dxa" w:w="936"/>
            <w:vAlign w:val="center"/>
            <w:tcMar>
              <w:top w:w="85" w:type="dxa"/>
              <w:left w:w="85" w:type="dxa"/>
              <w:bottom w:w="85" w:type="dxa"/>
              <w:right w:w="85" w:type="dxa"/>
            </w:tcMar>
          </w:tcPr>
          <w:p>
            <w:pPr>
              <w:keepNext w:val="0"/>
              <w:spacing w:after="60" w:before="40" w:line="259" w:lineRule="auto"/>
            </w:pPr>
            <w:r>
              <w:rPr>
                <w:b w:val="0"/>
                <w:sz w:val="20"/>
              </w:rPr>
              <w:t>Critical</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Engineer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T01 T15 T21 release blockers.</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RISK08</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Concurrency permits excess seats or duplicate confirmations.</w:t>
            </w:r>
          </w:p>
        </w:tc>
        <w:tc>
          <w:tcPr>
            <w:tcW w:type="dxa" w:w="936"/>
            <w:vAlign w:val="center"/>
            <w:tcMar>
              <w:top w:w="85" w:type="dxa"/>
              <w:left w:w="85" w:type="dxa"/>
              <w:bottom w:w="85" w:type="dxa"/>
              <w:right w:w="85" w:type="dxa"/>
            </w:tcMar>
          </w:tcPr>
          <w:p>
            <w:pPr>
              <w:keepNext w:val="0"/>
              <w:spacing w:after="60" w:before="40" w:line="259" w:lineRule="auto"/>
            </w:pPr>
            <w:r>
              <w:rPr>
                <w:b w:val="0"/>
                <w:sz w:val="20"/>
              </w:rPr>
              <w:t>Critical</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Engineer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Locks, unique constraints, idempotency and T11 T12.</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RISK09</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Hackathon key expires or quotas are exhausted.</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Engineer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Monitor use; maintain judging support; plan a production agreement.</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RISK10</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Risk</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MVP expands into money movement or a large marketplace too early.</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Hold D08 scope and release gates.</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Q01</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Open question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Who is merchant of record and who handles refunds in a future paid release?</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Resolve separately before payment implementation.</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Q02</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Open question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Which LLM provider and tested model will be configured?</w:t>
            </w:r>
          </w:p>
        </w:tc>
        <w:tc>
          <w:tcPr>
            <w:tcW w:type="dxa" w:w="936"/>
            <w:vAlign w:val="center"/>
            <w:tcMar>
              <w:top w:w="85" w:type="dxa"/>
              <w:left w:w="85" w:type="dxa"/>
              <w:bottom w:w="85" w:type="dxa"/>
              <w:right w:w="85" w:type="dxa"/>
            </w:tcMar>
          </w:tcPr>
          <w:p>
            <w:pPr>
              <w:keepNext w:val="0"/>
              <w:spacing w:after="60" w:before="40" w:line="259" w:lineRule="auto"/>
            </w:pPr>
            <w:r>
              <w:rPr>
                <w:b w:val="0"/>
                <w:sz w:val="20"/>
              </w:rPr>
              <w:t>Medium</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Engineer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Choose based on structured-output quality, cost and privacy terms.</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Q03</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Open question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What are live search and optional affinity-field response paths for the issued key?</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Engineer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Pin a redacted private contract fixture and parser test.</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Q04</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Open question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Which Edinburgh venue and three groups agree to the first pilot?</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Obtain explicit participation; do not imply a partnership.</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Q05</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Open question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What controller roles, lawful bases and retention periods are appropriate?</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Product owner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Review vendor terms and pilot processing before real personal data.</w:t>
            </w:r>
          </w:p>
        </w:tc>
      </w:tr>
      <w:tr>
        <w:trPr>
          <w:cantSplit/>
        </w:trPr>
        <w:tc>
          <w:tcPr>
            <w:tcW w:type="dxa" w:w="936"/>
            <w:vAlign w:val="center"/>
            <w:tcMar>
              <w:top w:w="85" w:type="dxa"/>
              <w:left w:w="85" w:type="dxa"/>
              <w:bottom w:w="85" w:type="dxa"/>
              <w:right w:w="85" w:type="dxa"/>
            </w:tcMar>
          </w:tcPr>
          <w:p>
            <w:pPr>
              <w:keepNext w:val="0"/>
              <w:spacing w:after="60" w:before="40" w:line="259" w:lineRule="auto"/>
            </w:pPr>
            <w:r>
              <w:rPr>
                <w:b w:val="0"/>
                <w:sz w:val="20"/>
              </w:rPr>
              <w:t>Q06</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Open question</w:t>
            </w:r>
          </w:p>
        </w:tc>
        <w:tc>
          <w:tcPr>
            <w:tcW w:type="dxa" w:w="2880"/>
            <w:vAlign w:val="center"/>
            <w:tcMar>
              <w:top w:w="85" w:type="dxa"/>
              <w:left w:w="85" w:type="dxa"/>
              <w:bottom w:w="85" w:type="dxa"/>
              <w:right w:w="85" w:type="dxa"/>
            </w:tcMar>
          </w:tcPr>
          <w:p>
            <w:pPr>
              <w:keepNext w:val="0"/>
              <w:spacing w:after="60" w:before="40" w:line="259" w:lineRule="auto"/>
            </w:pPr>
            <w:r>
              <w:rPr>
                <w:b w:val="0"/>
                <w:sz w:val="20"/>
              </w:rPr>
              <w:t>Can venue programme anchors meaningfully represent the experience?</w:t>
            </w:r>
          </w:p>
        </w:tc>
        <w:tc>
          <w:tcPr>
            <w:tcW w:type="dxa" w:w="936"/>
            <w:vAlign w:val="center"/>
            <w:tcMar>
              <w:top w:w="85" w:type="dxa"/>
              <w:left w:w="85" w:type="dxa"/>
              <w:bottom w:w="85" w:type="dxa"/>
              <w:right w:w="85" w:type="dxa"/>
            </w:tcMar>
          </w:tcPr>
          <w:p>
            <w:pPr>
              <w:keepNext w:val="0"/>
              <w:spacing w:after="60" w:before="40" w:line="259" w:lineRule="auto"/>
            </w:pPr>
            <w:r>
              <w:rPr>
                <w:b w:val="0"/>
                <w:sz w:val="20"/>
              </w:rPr>
              <w:t>High</w:t>
            </w:r>
          </w:p>
        </w:tc>
        <w:tc>
          <w:tcPr>
            <w:tcW w:type="dxa" w:w="1296"/>
            <w:vAlign w:val="center"/>
            <w:tcMar>
              <w:top w:w="85" w:type="dxa"/>
              <w:left w:w="85" w:type="dxa"/>
              <w:bottom w:w="85" w:type="dxa"/>
              <w:right w:w="85" w:type="dxa"/>
            </w:tcMar>
          </w:tcPr>
          <w:p>
            <w:pPr>
              <w:keepNext w:val="0"/>
              <w:spacing w:after="60" w:before="40" w:line="259" w:lineRule="auto"/>
            </w:pPr>
            <w:r>
              <w:rPr>
                <w:b w:val="0"/>
                <w:sz w:val="20"/>
              </w:rPr>
              <w:t>Curatorial reviewer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Review mapping reasons and compare with unassisted recommendations.</w:t>
            </w:r>
          </w:p>
        </w:tc>
      </w:tr>
    </w:tbl>
    <w:p>
      <w:pPr>
        <w:spacing w:after="60" w:before="0" w:line="60" w:lineRule="exact"/>
      </w:pPr>
    </w:p>
    <w:p>
      <w:pPr>
        <w:pStyle w:val="Heading1"/>
      </w:pPr>
      <w:r>
        <w:t>Verified foundations</w:t>
      </w:r>
    </w:p>
    <w:p>
      <w:r>
        <w:t>The current product brief establishes the agreed direction. The official hackathon page establishes submission requirements and dates. The Qloo developer guide establishes the hackathon host and permitted interface patterns. These do not validate customer demand, catalogue suitability, application security or achieved matching quality.</w:t>
      </w:r>
    </w:p>
    <w:p>
      <w:pPr>
        <w:pStyle w:val="Heading1"/>
      </w:pPr>
      <w:r>
        <w:t>Decision process</w:t>
      </w:r>
    </w:p>
    <w:p>
      <w:r>
        <w:t>When evidence resolves an entry, record date, source, decision, impact and affected document IDs. A closed assumption can become a product decision or a reason to stop. Maintain disagreements and negative evidence alongside positive findings.</w:t>
      </w:r>
    </w:p>
    <w:p>
      <w:pPr>
        <w:pStyle w:val="Heading1"/>
      </w:pPr>
      <w:r>
        <w:t>Stop conditions</w:t>
      </w:r>
    </w:p>
    <w:p>
      <w:r>
        <w:t>Pause the proposed business if sharing is consistently rejected, a normal public event offers equivalent value, venue fees cannot cover coordination, or Qloo does not improve discovery. Pause release immediately for unresolved critical security, capacity or provenance failures.</w:t>
      </w:r>
    </w:p>
    <w:p>
      <w:pPr>
        <w:keepNext/>
        <w:spacing w:before="100" w:after="60"/>
      </w:pPr>
      <w:r>
        <w:rPr>
          <w:b/>
          <w:sz w:val="18"/>
        </w:rPr>
        <w:t>References</w:t>
      </w:r>
    </w:p>
    <w:p>
      <w:pPr>
        <w:spacing w:after="60"/>
      </w:pPr>
      <w:r>
        <w:rPr>
          <w:sz w:val="18"/>
        </w:rPr>
        <w:t>Related documents D02, D08, D22</w:t>
      </w:r>
    </w:p>
    <w:p>
      <w:pPr>
        <w:spacing w:after="60"/>
      </w:pPr>
      <w:r>
        <w:rPr>
          <w:sz w:val="18"/>
        </w:rPr>
        <w:t xml:space="preserve">SRC01  </w:t>
      </w:r>
      <w:r>
        <w:rPr>
          <w:sz w:val="18"/>
        </w:rPr>
        <w:t>Product brief approved in this conversation</w:t>
      </w:r>
    </w:p>
    <w:p>
      <w:pPr>
        <w:spacing w:after="60"/>
      </w:pPr>
      <w:r>
        <w:rPr>
          <w:sz w:val="18"/>
        </w:rPr>
        <w:t xml:space="preserve">SRC02  </w:t>
      </w:r>
      <w:hyperlink r:id="rId10">
        <w:r>
          <w:rPr>
            <w:sz w:val="18"/>
            <w:color w:val="000000"/>
            <w:u w:val="single"/>
          </w:rPr>
          <w:t>Qloo hackathon developer guide</w:t>
        </w:r>
      </w:hyperlink>
    </w:p>
    <w:p>
      <w:pPr>
        <w:spacing w:after="60"/>
      </w:pPr>
      <w:r>
        <w:rPr>
          <w:sz w:val="18"/>
        </w:rPr>
        <w:t xml:space="preserve">SRC07  </w:t>
      </w:r>
      <w:hyperlink r:id="rId11">
        <w:r>
          <w:rPr>
            <w:sz w:val="18"/>
            <w:color w:val="000000"/>
            <w:u w:val="single"/>
          </w:rPr>
          <w:t>Qloo official hackathon overview</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D27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qloo.com/reference/qloo-llm-hackathon-developer-guide" TargetMode="External"/><Relationship Id="rId11" Type="http://schemas.openxmlformats.org/officeDocument/2006/relationships/hyperlink" Target="https://qloo.devpo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Assumptions Risks and Open Questions Register</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