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src\causali.py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Quota code management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set_causali_path()</w:t>
      </w:r>
    </w:p>
    <w:p>
      <w:pPr>
        <w:pStyle w:val="ListBullet"/>
      </w:pPr>
      <w:r>
        <w:t>Funzione: load_causali_codes()</w:t>
      </w:r>
    </w:p>
    <w:p>
      <w:pPr>
        <w:pStyle w:val="ListBullet"/>
      </w:pPr>
      <w:r>
        <w:t>Funzione: save_causali_codes()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