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src\v4_ui\unified_export_wizard.py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2025-12-24T18:06:38</w:t>
      </w:r>
    </w:p>
    <w:p>
      <w:pPr>
        <w:pStyle w:val="Heading2"/>
      </w:pPr>
      <w:r>
        <w:t>Funzione</w:t>
      </w:r>
    </w:p>
    <w:p>
      <w:r>
        <w:t>Unified launcher dialog for soci/magazzino export flows.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UnifiedExportWizard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