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src\v4_ui\unified_import_wizard.py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2025-12-24T18:06:38</w:t>
      </w:r>
    </w:p>
    <w:p>
      <w:pPr>
        <w:pStyle w:val="Heading2"/>
      </w:pPr>
      <w:r>
        <w:t>Funzione</w:t>
      </w:r>
    </w:p>
    <w:p>
      <w:r>
        <w:t>Unified CSV import wizard launcher for Soci and Magazzino flows.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UnifiedImportWizard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