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Email Wizard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Il wizard email aiuta a preparare comunicazioni verso i soci (o verso il Consiglio Direttivo) usando template e destinatari estratti dal DB. Supporta mailto, esportazione .eml e apertura bozza in Thunderbird.</w:t>
      </w:r>
    </w:p>
    <w:p>
      <w:pPr>
        <w:pStyle w:val="Heading1"/>
      </w:pPr>
      <w:r>
        <w:t>Destinatari (estrazione da DB)</w:t>
      </w:r>
    </w:p>
    <w:p>
      <w:pPr>
        <w:pStyle w:val="ListBullet"/>
      </w:pPr>
      <w:r>
        <w:t>Modalità ‘Soci attivi’: tutti i soci attivi con email valorizzata.</w:t>
      </w:r>
    </w:p>
    <w:p>
      <w:pPr>
        <w:pStyle w:val="ListBullet"/>
      </w:pPr>
      <w:r>
        <w:t>Modalità ‘Consiglio Direttivo’: soci attivi con cd_ruolo valorizzato e diverso da ‘Socio’/‘Ex Socio’, con email.</w:t>
      </w:r>
    </w:p>
    <w:p>
      <w:pPr>
        <w:pStyle w:val="ListBullet"/>
      </w:pPr>
      <w:r>
        <w:t>I destinatari vengono messi in BCC (privacy) e viene mostrato un contatore (n destinatari).</w:t>
      </w:r>
    </w:p>
    <w:p>
      <w:pPr>
        <w:pStyle w:val="Heading1"/>
      </w:pPr>
      <w:r>
        <w:t>Template e ODG</w:t>
      </w:r>
    </w:p>
    <w:p>
      <w:pPr>
        <w:pStyle w:val="ListBullet"/>
      </w:pPr>
      <w:r>
        <w:t>Template disponibili: Convocazione CD, Comunicazione generale, Convocazione assemblea, Promemoria quota, Personalizzata.</w:t>
      </w:r>
    </w:p>
    <w:p>
      <w:pPr>
        <w:pStyle w:val="ListBullet"/>
      </w:pPr>
      <w:r>
        <w:t>Il corpo email può includere placeholder {odg}; l’ODG può essere incollato o caricato da una riunione CD selezionata (carica campo ‘odg’ della riunione).</w:t>
      </w:r>
    </w:p>
    <w:p>
      <w:pPr>
        <w:pStyle w:val="Heading1"/>
      </w:pPr>
      <w:r>
        <w:t>Output: mailto vs .eml vs Thunderbird</w:t>
      </w:r>
    </w:p>
    <w:p>
      <w:pPr>
        <w:pStyle w:val="ListBullet"/>
      </w:pPr>
      <w:r>
        <w:t>Crea Email: genera un URL mailto con subject/body/bcc e apre il client predefinito; se l’URL supera una soglia, propone copia negli appunti.</w:t>
      </w:r>
    </w:p>
    <w:p>
      <w:pPr>
        <w:pStyle w:val="ListBullet"/>
      </w:pPr>
      <w:r>
        <w:t>Salva .eml: crea un file EML con Subject/To/Bcc/Date e testo; default directory: SEC_DOCS/email_eml/.</w:t>
      </w:r>
    </w:p>
    <w:p>
      <w:pPr>
        <w:pStyle w:val="ListBullet"/>
      </w:pPr>
      <w:r>
        <w:t>Invia con Thunderbird: usa -compose (subject/body/bcc) e richiede un percorso exe configurato in Preferenze.</w:t>
      </w:r>
    </w:p>
    <w:p>
      <w:pPr>
        <w:pStyle w:val="Heading1"/>
      </w:pPr>
      <w:r>
        <w:t>Email salvate</w:t>
      </w:r>
    </w:p>
    <w:p>
      <w:pPr>
        <w:pStyle w:val="ListBullet"/>
      </w:pPr>
      <w:r>
        <w:t>Tab dedicata che elenca i .eml salvati; consente Apri, Elimina, Apri cartella, Avvia Thunderbird.</w:t>
      </w:r>
    </w:p>
    <w:p>
      <w:pPr>
        <w:pStyle w:val="ListBullet"/>
      </w:pPr>
      <w:r>
        <w:t>Selezionando un .eml, il wizard può estrarre Subject/Body/Bcc dal file e usarli per la bozza in Thunderbird.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