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2.png" ContentType="image/png"/>
  <Override PartName="/word/media/rId166.png" ContentType="image/png"/>
  <Override PartName="/word/media/rId158.png" ContentType="image/png"/>
  <Override PartName="/word/media/rId172.png" ContentType="image/png"/>
  <Override PartName="/word/media/rId176.png" ContentType="image/png"/>
  <Override PartName="/word/media/rId96.png" ContentType="image/png"/>
  <Override PartName="/word/media/rId48.png" ContentType="image/png"/>
  <Override PartName="/word/media/rId21.png" ContentType="image/png"/>
  <Override PartName="/word/media/rId100.png" ContentType="image/png"/>
  <Override PartName="/word/media/rId58.png" ContentType="image/png"/>
  <Override PartName="/word/media/rId25.png" ContentType="image/png"/>
  <Override PartName="/word/media/rId104.png" ContentType="image/png"/>
  <Override PartName="/word/media/rId62.png" ContentType="image/png"/>
  <Override PartName="/word/media/rId10.png" ContentType="image/png"/>
  <Override PartName="/word/media/rId108.png" ContentType="image/png"/>
  <Override PartName="/word/media/rId66.png" ContentType="image/png"/>
  <Override PartName="/word/media/rId29.png" ContentType="image/png"/>
  <Override PartName="/word/media/rId112.png" ContentType="image/png"/>
  <Override PartName="/word/media/rId70.png" ContentType="image/png"/>
  <Override PartName="/word/media/rId40.png" ContentType="image/png"/>
  <Override PartName="/word/media/rId116.png" ContentType="image/png"/>
  <Override PartName="/word/media/rId44.png" ContentType="image/png"/>
  <Override PartName="/word/media/rId120.png" ContentType="image/png"/>
  <Override PartName="/word/media/rId80.png" ContentType="image/png"/>
  <Override PartName="/word/media/rId34.png" ContentType="image/png"/>
  <Override PartName="/word/media/rId54.png" ContentType="image/png"/>
  <Override PartName="/word/media/rId74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24.png" ContentType="image/png"/>
  <Override PartName="/word/media/rId129.png" ContentType="image/png"/>
  <Override PartName="/word/media/rId133.png" ContentType="image/png"/>
  <Override PartName="/word/media/rId13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3</w:t>
      </w:r>
    </w:p>
    <w:p>
      <w:pPr>
        <w:pStyle w:val="Subtitle"/>
      </w:pPr>
      <w:r>
        <w:t xml:space="preserve">Дискретно-событийная модель системы массового обслуживания M/M/1</w:t>
      </w:r>
    </w:p>
    <w:p>
      <w:pPr>
        <w:pStyle w:val="Author"/>
      </w:pPr>
      <w:r>
        <w:t xml:space="preserve">Куокконен Дарина Андреевна</w:t>
      </w:r>
    </w:p>
    <w:p>
      <w:pPr>
        <w:pStyle w:val="Date"/>
      </w:pPr>
      <w:r>
        <w:t xml:space="preserve">2026-08-30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Реализована дискретно-событийная модель одноканальной системы массового</w:t>
      </w:r>
      <w:r>
        <w:t xml:space="preserve"> </w:t>
      </w:r>
      <w:r>
        <w:t xml:space="preserve">обслуживания M/M/1. Имитационные оценки загрузки, длины очереди и времён</w:t>
      </w:r>
      <w:r>
        <w:t xml:space="preserve"> </w:t>
      </w:r>
      <w:r>
        <w:t xml:space="preserve">ожидания сопоставлены со стационарными формулами. Проведён нагрузочный</w:t>
      </w:r>
      <w:r>
        <w:t xml:space="preserve"> </w:t>
      </w:r>
      <w:r>
        <w:t xml:space="preserve">эксперимент, показавший нелинейный рост задержки при приближении загрузки к</w:t>
      </w:r>
      <w:r>
        <w:t xml:space="preserve"> </w:t>
      </w:r>
      <w:r>
        <w:t xml:space="preserve">единице. Результаты воспроизводятся в Julia и проверяются тестами.</w:t>
      </w:r>
    </w:p>
    <w:bookmarkStart w:id="150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и задание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</w:t>
      </w:r>
    </w:p>
    <w:p>
      <w:pPr>
        <w:pStyle w:val="Compact"/>
        <w:numPr>
          <w:ilvl w:val="0"/>
          <w:numId w:val="1001"/>
        </w:numPr>
      </w:pPr>
      <w:r>
        <w:t xml:space="preserve">Алгоритм имитации</w:t>
      </w:r>
    </w:p>
    <w:p>
      <w:pPr>
        <w:pStyle w:val="Compact"/>
        <w:numPr>
          <w:ilvl w:val="0"/>
          <w:numId w:val="1001"/>
        </w:numPr>
      </w:pPr>
      <w:r>
        <w:t xml:space="preserve">Базовый эксперимент</w:t>
      </w:r>
    </w:p>
    <w:p>
      <w:pPr>
        <w:pStyle w:val="Compact"/>
        <w:numPr>
          <w:ilvl w:val="0"/>
          <w:numId w:val="1001"/>
        </w:numPr>
      </w:pPr>
      <w:r>
        <w:t xml:space="preserve">Нагрузочный эксперимент</w:t>
      </w:r>
    </w:p>
    <w:p>
      <w:pPr>
        <w:pStyle w:val="Compact"/>
        <w:numPr>
          <w:ilvl w:val="0"/>
          <w:numId w:val="1001"/>
        </w:numPr>
      </w:pPr>
      <w:r>
        <w:t xml:space="preserve">Воспроизводимость и проверка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r>
        <w:br w:type="page"/>
      </w:r>
    </w:p>
    <w:bookmarkEnd w:id="150"/>
    <w:bookmarkStart w:id="151" w:name="цель-и-задание"/>
    <w:p>
      <w:pPr>
        <w:pStyle w:val="Heading1"/>
      </w:pPr>
      <w:r>
        <w:t xml:space="preserve">1. Цель и задание</w:t>
      </w:r>
    </w:p>
    <w:p>
      <w:pPr>
        <w:pStyle w:val="FirstParagraph"/>
      </w:pPr>
      <w:r>
        <w:t xml:space="preserve">Цель работы — освоить событийный подход к имитационному моделированию и</w:t>
      </w:r>
      <w:r>
        <w:t xml:space="preserve"> </w:t>
      </w:r>
      <w:r>
        <w:t xml:space="preserve">исследовать систему массового обслуживания M/M/1 с пуассоновским потоком</w:t>
      </w:r>
      <w:r>
        <w:t xml:space="preserve"> </w:t>
      </w:r>
      <w:r>
        <w:t xml:space="preserve">заявок и экспоненциальным временем обслуживания.</w:t>
      </w:r>
    </w:p>
    <w:p>
      <w:pPr>
        <w:pStyle w:val="BodyText"/>
      </w:pPr>
      <w:r>
        <w:t xml:space="preserve">В работе требовалось:</w:t>
      </w:r>
    </w:p>
    <w:p>
      <w:pPr>
        <w:pStyle w:val="Compact"/>
        <w:numPr>
          <w:ilvl w:val="0"/>
          <w:numId w:val="1002"/>
        </w:numPr>
      </w:pPr>
      <w:r>
        <w:t xml:space="preserve">реализовать календарь событий «приход/уход» без фиксированного шага времени;</w:t>
      </w:r>
    </w:p>
    <w:p>
      <w:pPr>
        <w:pStyle w:val="Compact"/>
        <w:numPr>
          <w:ilvl w:val="0"/>
          <w:numId w:val="1002"/>
        </w:numPr>
      </w:pPr>
      <w:r>
        <w:t xml:space="preserve">накопить интегральные статистики длины системы, очереди и занятости прибора;</w:t>
      </w:r>
    </w:p>
    <w:p>
      <w:pPr>
        <w:pStyle w:val="Compact"/>
        <w:numPr>
          <w:ilvl w:val="0"/>
          <w:numId w:val="1002"/>
        </w:numPr>
      </w:pPr>
      <w:r>
        <w:t xml:space="preserve">сопоставить оценки с формулами стационарной M/M/1;</w:t>
      </w:r>
    </w:p>
    <w:p>
      <w:pPr>
        <w:pStyle w:val="Compact"/>
        <w:numPr>
          <w:ilvl w:val="0"/>
          <w:numId w:val="1002"/>
        </w:numPr>
      </w:pPr>
      <w:r>
        <w:t xml:space="preserve">изучить изменение очереди при росте нагрузки;</w:t>
      </w:r>
    </w:p>
    <w:p>
      <w:pPr>
        <w:pStyle w:val="Compact"/>
        <w:numPr>
          <w:ilvl w:val="0"/>
          <w:numId w:val="1002"/>
        </w:numPr>
      </w:pPr>
      <w:r>
        <w:t xml:space="preserve">сформировать CSV, графики, QMD, HTML и выполненные блокноты Jupyter;</w:t>
      </w:r>
    </w:p>
    <w:p>
      <w:pPr>
        <w:pStyle w:val="Compact"/>
        <w:numPr>
          <w:ilvl w:val="0"/>
          <w:numId w:val="1002"/>
        </w:numPr>
      </w:pPr>
      <w:r>
        <w:t xml:space="preserve">подтвердить корректность реализации автоматическими тестами.</w:t>
      </w:r>
    </w:p>
    <w:bookmarkEnd w:id="151"/>
    <w:bookmarkStart w:id="155" w:name="теоретическое-введение"/>
    <w:p>
      <w:pPr>
        <w:pStyle w:val="Heading1"/>
      </w:pPr>
      <w:r>
        <w:t xml:space="preserve">2. Теоретическое введение</w:t>
      </w:r>
    </w:p>
    <w:p>
      <w:pPr>
        <w:pStyle w:val="FirstParagraph"/>
      </w:pPr>
      <w:r>
        <w:t xml:space="preserve">Обозначим через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интенсивность поступления заявок, через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интенсивность обслуживания, а через</w:t>
      </w:r>
    </w:p>
    <w:p>
      <w:pPr>
        <w:pStyle w:val="BodyText"/>
      </w:pPr>
      <w:bookmarkStart w:id="152" w:name="eq-rho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μ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p>
      <w:pPr>
        <w:pStyle w:val="FirstParagraph"/>
      </w:pPr>
      <w:r>
        <w:t xml:space="preserve">— загрузку системы. Стационарный режим существует при</w:t>
      </w:r>
      <w:r>
        <w:t xml:space="preserve"> </w:t>
      </w:r>
      <m:oMath>
        <m:r>
          <m:t>ρ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Для M/M/1 среднее число заявок в системе и очереди равно</w:t>
      </w:r>
    </w:p>
    <w:p>
      <w:pPr>
        <w:pStyle w:val="BodyText"/>
      </w:pPr>
      <w:bookmarkStart w:id="153" w:name="eq-lengths"/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По формуле Литтла времена пребывания и ожидания определяются как</w:t>
      </w:r>
    </w:p>
    <w:p>
      <w:pPr>
        <w:pStyle w:val="BodyText"/>
      </w:pPr>
      <w:bookmarkStart w:id="154" w:name="eq-times"/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</m:num>
            <m:den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Формулы (</w:t>
      </w:r>
      <w:hyperlink w:anchor="eq-lengths">
        <w:r>
          <w:rPr>
            <w:rStyle w:val="Hyperlink"/>
          </w:rPr>
          <w:t xml:space="preserve">Уравнение 2</w:t>
        </w:r>
      </w:hyperlink>
      <w:r>
        <w:t xml:space="preserve">) и (</w:t>
      </w:r>
      <w:hyperlink w:anchor="eq-times">
        <w:r>
          <w:rPr>
            <w:rStyle w:val="Hyperlink"/>
          </w:rPr>
          <w:t xml:space="preserve">Уравнение 3</w:t>
        </w:r>
      </w:hyperlink>
      <w:r>
        <w:t xml:space="preserve">) показывают сингулярный рост показателей при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t>1</m:t>
        </m:r>
      </m:oMath>
      <w:r>
        <w:t xml:space="preserve">. Это свойство особенно важно при проектировании информационных и</w:t>
      </w:r>
      <w:r>
        <w:t xml:space="preserve"> </w:t>
      </w:r>
      <w:r>
        <w:t xml:space="preserve">телекоммуникационных систем: небольшое увеличение потока вблизи пропускной</w:t>
      </w:r>
      <w:r>
        <w:t xml:space="preserve"> </w:t>
      </w:r>
      <w:r>
        <w:t xml:space="preserve">способности вызывает резкий рост задержки.</w:t>
      </w:r>
    </w:p>
    <w:bookmarkEnd w:id="155"/>
    <w:bookmarkStart w:id="156" w:name="алгоритм-имитации"/>
    <w:p>
      <w:pPr>
        <w:pStyle w:val="Heading1"/>
      </w:pPr>
      <w:r>
        <w:t xml:space="preserve">3. Алгоритм имитации</w:t>
      </w:r>
    </w:p>
    <w:p>
      <w:pPr>
        <w:pStyle w:val="FirstParagraph"/>
      </w:pPr>
      <w:r>
        <w:t xml:space="preserve">Модель хранит времена ближайшего поступления и ухода. На каждом шаге</w:t>
      </w:r>
      <w:r>
        <w:t xml:space="preserve"> </w:t>
      </w:r>
      <w:r>
        <w:t xml:space="preserve">выбирается более раннее событие. Между соседними событиями состояние постоянно,</w:t>
      </w:r>
      <w:r>
        <w:t xml:space="preserve"> </w:t>
      </w:r>
      <w:r>
        <w:t xml:space="preserve">поэтому площади под траекториями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накапливаются точно как суммы</w:t>
      </w:r>
      <w:r>
        <w:t xml:space="preserve"> </w:t>
      </w:r>
      <w:r>
        <w:t xml:space="preserve">прямоугольников.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event_time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(next_arrival, next_departure)</w:t>
      </w:r>
      <w:r>
        <w:br/>
      </w:r>
      <w:r>
        <w:rPr>
          <w:rStyle w:val="NormalTok"/>
        </w:rPr>
        <w:t xml:space="preserve">    event_time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horizon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n_system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(queue_arrivals)</w:t>
      </w:r>
      <w:r>
        <w:br/>
      </w:r>
      <w:r>
        <w:rPr>
          <w:rStyle w:val="NormalTok"/>
        </w:rPr>
        <w:t xml:space="preserve">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last_t</w:t>
      </w:r>
      <w:r>
        <w:br/>
      </w:r>
      <w:r>
        <w:rPr>
          <w:rStyle w:val="NormalTok"/>
        </w:rPr>
        <w:t xml:space="preserve">    area_system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n_system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area_queue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(n_system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next_arrival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next_departure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постановка новой заявки в очередь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завершение обслуживания первой заявки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1 — Основной цикл событийной модели</w:t>
      </w:r>
    </w:p>
    <w:p>
      <w:pPr>
        <w:pStyle w:val="BodyText"/>
      </w:pPr>
      <w:r>
        <w:t xml:space="preserve">Интервалы формируются как</w:t>
      </w:r>
      <w:r>
        <w:t xml:space="preserve"> </w:t>
      </w:r>
      <w:r>
        <w:rPr>
          <w:rStyle w:val="VerbatimChar"/>
        </w:rPr>
        <w:t xml:space="preserve">randexp(rng) / rate</w:t>
      </w:r>
      <w:r>
        <w:t xml:space="preserve">. Начальные числа генератора</w:t>
      </w:r>
      <w:r>
        <w:t xml:space="preserve"> </w:t>
      </w:r>
      <w:r>
        <w:t xml:space="preserve">фиксируются, что обеспечивает повторяемость. Время ожидания каждой обслуженной</w:t>
      </w:r>
      <w:r>
        <w:t xml:space="preserve"> </w:t>
      </w:r>
      <w:r>
        <w:t xml:space="preserve">заявки вычисляется как разность между началом обслуживания и поступлением.</w:t>
      </w:r>
    </w:p>
    <w:bookmarkEnd w:id="156"/>
    <w:bookmarkStart w:id="170" w:name="базовый-эксперимент"/>
    <w:p>
      <w:pPr>
        <w:pStyle w:val="Heading1"/>
      </w:pPr>
      <w:r>
        <w:t xml:space="preserve">4. Базовый эксперимент</w:t>
      </w:r>
    </w:p>
    <w:p>
      <w:pPr>
        <w:pStyle w:val="FirstParagraph"/>
      </w:pPr>
      <w:r>
        <w:t xml:space="preserve">Для сопоставления с учебной постановкой выбраны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30</m:t>
          </m:r>
          <m:r>
            <m:rPr>
              <m:sty m:val="p"/>
            </m:rPr>
            <m:t>,</m:t>
          </m:r>
          <m:r>
            <m:t>  </m:t>
          </m:r>
          <m:r>
            <m:t>μ</m:t>
          </m:r>
          <m:r>
            <m:rPr>
              <m:sty m:val="p"/>
            </m:rPr>
            <m:t>=</m:t>
          </m:r>
          <m:r>
            <m:t>33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1000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поэтому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9091</m:t>
        </m:r>
      </m:oMath>
      <w:r>
        <w:t xml:space="preserve">. За один прогон поступило и было обслужено 29 825</w:t>
      </w:r>
      <w:r>
        <w:t xml:space="preserve"> </w:t>
      </w:r>
      <w:r>
        <w:t xml:space="preserve">заявок; потерь при практически неограниченном буфере не возникло.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ba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Сопоставление теоретических и имитационных оценок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Показатель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Теория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Имитация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Относительная ошибка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ρ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0,9091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0,9146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0,60%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9,5247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4,75%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q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8,6101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5,29%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W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4,19%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q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0,2887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4,73%</w:t>
                  </w:r>
                </w:p>
              </w:tc>
            </w:tr>
          </w:tbl>
          <w:bookmarkEnd w:id="157"/>
          <w:p/>
        </w:tc>
      </w:tr>
    </w:tbl>
    <w:p>
      <w:pPr>
        <w:pStyle w:val="BodyText"/>
      </w:pPr>
      <w:r>
        <w:t xml:space="preserve">Расхождение в</w:t>
      </w:r>
      <w:r>
        <w:t xml:space="preserve"> </w:t>
      </w:r>
      <w:hyperlink w:anchor="tbl-base">
        <w:r>
          <w:rPr>
            <w:rStyle w:val="Hyperlink"/>
          </w:rPr>
          <w:t xml:space="preserve">Таблица 1</w:t>
        </w:r>
      </w:hyperlink>
      <w:r>
        <w:t xml:space="preserve"> </w:t>
      </w:r>
      <w:r>
        <w:t xml:space="preserve">объясняется конечной длительностью случайного прогона.</w:t>
      </w:r>
      <w:r>
        <w:t xml:space="preserve"> </w:t>
      </w:r>
      <w:r>
        <w:t xml:space="preserve">Все пять оценок согласуются с теорией с ошибкой не более 5,3%.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ompare"/>
          <w:p>
            <w:pPr>
              <w:pStyle w:val="Compact"/>
              <w:jc w:val="center"/>
            </w:pPr>
            <w:r>
              <w:drawing>
                <wp:inline>
                  <wp:extent cx="4587240" cy="2844088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image/03-plot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40" cy="284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Сопоставление теории и имитации M/M/1</w:t>
            </w:r>
          </w:p>
          <w:bookmarkEnd w:id="161"/>
        </w:tc>
      </w:tr>
    </w:tbl>
    <w:p>
      <w:pPr>
        <w:pStyle w:val="BodyText"/>
      </w:pPr>
      <w:r>
        <w:t xml:space="preserve">Траектория очереди является кусочно-постоянной: приход увеличивает её, а уход</w:t>
      </w:r>
      <w:r>
        <w:t xml:space="preserve"> </w:t>
      </w:r>
      <w:r>
        <w:t xml:space="preserve">уменьшает. На коротком фрагменте видны случайные серии заявок и периоды</w:t>
      </w:r>
      <w:r>
        <w:t xml:space="preserve"> </w:t>
      </w:r>
      <w:r>
        <w:t xml:space="preserve">разгрузки прибора.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fig-queue"/>
          <w:p>
            <w:pPr>
              <w:pStyle w:val="Compact"/>
              <w:jc w:val="center"/>
            </w:pPr>
            <w:r>
              <w:drawing>
                <wp:inline>
                  <wp:extent cx="4693920" cy="2904363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../image/01-plot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3920" cy="290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Фрагмент траектории длины очереди</w:t>
            </w:r>
          </w:p>
          <w:bookmarkEnd w:id="165"/>
        </w:tc>
      </w:tr>
    </w:tbl>
    <w:p>
      <w:pPr>
        <w:pStyle w:val="BodyText"/>
      </w:pPr>
      <w:r>
        <w:t xml:space="preserve">Распределение времени ожидания асимметрично: большинство заявок обслуживается</w:t>
      </w:r>
      <w:r>
        <w:t xml:space="preserve"> </w:t>
      </w:r>
      <w:r>
        <w:t xml:space="preserve">с небольшой задержкой, но формируется длинный правый хвост.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wait"/>
          <w:p>
            <w:pPr>
              <w:pStyle w:val="Compact"/>
              <w:jc w:val="center"/>
            </w:pPr>
            <w:r>
              <w:drawing>
                <wp:inline>
                  <wp:extent cx="4587240" cy="2838354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image/02-plo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40" cy="28383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Гистограмма времени ожидания</w:t>
            </w:r>
          </w:p>
          <w:bookmarkEnd w:id="169"/>
        </w:tc>
      </w:tr>
    </w:tbl>
    <w:bookmarkEnd w:id="170"/>
    <w:bookmarkStart w:id="180" w:name="нагрузочный-эксперимент"/>
    <w:p>
      <w:pPr>
        <w:pStyle w:val="Heading1"/>
      </w:pPr>
      <w:r>
        <w:t xml:space="preserve">5. Нагрузочный эксперимент</w:t>
      </w:r>
    </w:p>
    <w:p>
      <w:pPr>
        <w:pStyle w:val="FirstParagraph"/>
      </w:pPr>
      <w:r>
        <w:t xml:space="preserve">Интенсивность обслуживания зафиксирована на уровне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33</m:t>
        </m:r>
      </m:oMath>
      <w:r>
        <w:t xml:space="preserve">, а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изменялась от 10 до 32,5. Для каждой точки выполнено 30 независимых прогонов</w:t>
      </w:r>
      <w:r>
        <w:t xml:space="preserve"> </w:t>
      </w:r>
      <w:r>
        <w:t xml:space="preserve">продолжительностью 1500 единиц модельного времени.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loa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2: Результаты нагрузочного эксперимента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λ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ρ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Теоретическое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q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Имитационное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q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Имитационное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q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0,0132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0,6061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0,9324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0,9199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0,0461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0,7576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0,0940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0,8485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4,7515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4,7150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0,1682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0,9091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0,3028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31,5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0,9545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20,0455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20,2187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0,6422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32,5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0,9848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65,3523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2,0059</w:t>
                  </w:r>
                </w:p>
              </w:tc>
            </w:tr>
          </w:tbl>
          <w:bookmarkEnd w:id="17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load"/>
          <w:p>
            <w:pPr>
              <w:pStyle w:val="Compact"/>
              <w:jc w:val="center"/>
            </w:pPr>
            <w:r>
              <w:drawing>
                <wp:inline>
                  <wp:extent cx="4693920" cy="2904363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image/04-plo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3920" cy="290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Средняя очередь при изменении загрузки</w:t>
            </w:r>
          </w:p>
          <w:bookmarkEnd w:id="175"/>
        </w:tc>
      </w:tr>
    </w:tbl>
    <w:p>
      <w:pPr>
        <w:pStyle w:val="BodyText"/>
      </w:pPr>
      <w:r>
        <w:t xml:space="preserve">При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9848</m:t>
        </m:r>
      </m:oMath>
      <w:r>
        <w:t xml:space="preserve"> </w:t>
      </w:r>
      <w:r>
        <w:t xml:space="preserve">средняя очередь превышает 65 заявок, тогда как при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7576</m:t>
        </m:r>
      </m:oMath>
      <w:r>
        <w:t xml:space="preserve"> </w:t>
      </w:r>
      <w:r>
        <w:t xml:space="preserve">она близка к 2,35. Следовательно, резерв пропускной способности</w:t>
      </w:r>
      <w:r>
        <w:t xml:space="preserve"> </w:t>
      </w:r>
      <w:r>
        <w:t xml:space="preserve">нельзя оценивать линейно.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wait-load"/>
          <w:p>
            <w:pPr>
              <w:pStyle w:val="Compact"/>
              <w:jc w:val="center"/>
            </w:pPr>
            <w:r>
              <w:drawing>
                <wp:inline>
                  <wp:extent cx="4693920" cy="2904363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image/05-plot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3920" cy="290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Среднее ожидание при изменении загрузки</w:t>
            </w:r>
          </w:p>
          <w:bookmarkEnd w:id="179"/>
        </w:tc>
      </w:tr>
    </w:tbl>
    <w:bookmarkEnd w:id="180"/>
    <w:bookmarkStart w:id="181" w:name="воспроизводимость-и-проверка"/>
    <w:p>
      <w:pPr>
        <w:pStyle w:val="Heading1"/>
      </w:pPr>
      <w:r>
        <w:t xml:space="preserve">6. Воспроизводимость и проверка</w:t>
      </w:r>
    </w:p>
    <w:p>
      <w:pPr>
        <w:pStyle w:val="FirstParagraph"/>
      </w:pPr>
      <w:r>
        <w:t xml:space="preserve">Проект организован по схеме DrWatson.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 </w:t>
      </w:r>
      <w:r>
        <w:t xml:space="preserve">закрепляют среду Julia 1.11. Литературные сценарии автоматически порождают</w:t>
      </w:r>
      <w:r>
        <w:t xml:space="preserve"> </w:t>
      </w:r>
      <w:r>
        <w:t xml:space="preserve">чистые Julia-файлы, QMD и IPYNB; выполненные блокноты содержат фактический вывод.</w:t>
      </w:r>
    </w:p>
    <w:p>
      <w:pPr>
        <w:pStyle w:val="SourceCode"/>
      </w:pP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'using Pkg; Pkg.instantiate()'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</w:t>
      </w:r>
    </w:p>
    <w:p>
      <w:pPr>
        <w:pStyle w:val="FirstParagraph"/>
      </w:pPr>
      <w:r>
        <w:t xml:space="preserve">Тесты проверяют известный случай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 неотрицательность</w:t>
      </w:r>
      <w:r>
        <w:t xml:space="preserve"> </w:t>
      </w:r>
      <w:r>
        <w:t xml:space="preserve">очереди и ожиданий, отсутствие потерь при неограниченном буфере, а также</w:t>
      </w:r>
      <w:r>
        <w:t xml:space="preserve"> </w:t>
      </w:r>
      <w:r>
        <w:t xml:space="preserve">близость загрузки и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к аналитическим значениям. Пройдено 11 проверок.</w:t>
      </w:r>
    </w:p>
    <w:bookmarkEnd w:id="181"/>
    <w:bookmarkStart w:id="182" w:name="выводы"/>
    <w:p>
      <w:pPr>
        <w:pStyle w:val="Heading1"/>
      </w:pPr>
      <w:r>
        <w:t xml:space="preserve">7. Выводы</w:t>
      </w:r>
    </w:p>
    <w:p>
      <w:pPr>
        <w:pStyle w:val="FirstParagraph"/>
      </w:pPr>
      <w:r>
        <w:t xml:space="preserve">Дискретно-событийная модель M/M/1 реализована и проверена. Для базового режима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9091</m:t>
        </m:r>
      </m:oMath>
      <w:r>
        <w:t xml:space="preserve"> </w:t>
      </w:r>
      <w:r>
        <w:t xml:space="preserve">имитационные характеристики согласуются со стационарными</w:t>
      </w:r>
      <w:r>
        <w:t xml:space="preserve"> </w:t>
      </w:r>
      <w:r>
        <w:t xml:space="preserve">формулами с максимальной относительной ошибкой 5,3%. Нагрузочный эксперимент</w:t>
      </w:r>
      <w:r>
        <w:t xml:space="preserve"> </w:t>
      </w:r>
      <w:r>
        <w:t xml:space="preserve">подтвердил резкий рост очереди и ожидания при приближении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к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Получен полностью воспроизводимый Julia-проект с таблицами, графиками,</w:t>
      </w:r>
      <w:r>
        <w:t xml:space="preserve"> </w:t>
      </w:r>
      <w:r>
        <w:t xml:space="preserve">документацией, блокнотами и тестами.</w:t>
      </w:r>
    </w:p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49" Target="numbering.xml" /><Relationship Type="http://schemas.openxmlformats.org/officeDocument/2006/relationships/styles" Id="rId148" Target="styles.xml" /><Relationship Type="http://schemas.openxmlformats.org/officeDocument/2006/relationships/settings" Id="rId147" Target="settings.xml" /><Relationship Type="http://schemas.openxmlformats.org/officeDocument/2006/relationships/webSettings" Id="rId146" Target="webSettings.xml" /><Relationship Type="http://schemas.openxmlformats.org/officeDocument/2006/relationships/fontTable" Id="rId145" Target="fontTable.xml" /><Relationship Type="http://schemas.openxmlformats.org/officeDocument/2006/relationships/theme" Id="rId144" Target="theme/theme1.xml" /><Relationship Type="http://schemas.openxmlformats.org/officeDocument/2006/relationships/footnotes" Id="rId143" Target="footnotes.xml" /><Relationship Type="http://schemas.openxmlformats.org/officeDocument/2006/relationships/comments" Id="rId142" Target="comments.xml" /><Relationship Id="rId96" Target="media/rId96.png" Type="http://schemas.openxmlformats.org/officeDocument/2006/relationships/image" /><Relationship Id="rId48" Target="media/rId48.png" Type="http://schemas.openxmlformats.org/officeDocument/2006/relationships/image" /><Relationship Id="rId21" Target="media/rId21.png" Type="http://schemas.openxmlformats.org/officeDocument/2006/relationships/image" /><Relationship Id="rId100" Target="media/rId100.png" Type="http://schemas.openxmlformats.org/officeDocument/2006/relationships/image" /><Relationship Id="rId58" Target="media/rId58.png" Type="http://schemas.openxmlformats.org/officeDocument/2006/relationships/image" /><Relationship Id="rId25" Target="media/rId25.png" Type="http://schemas.openxmlformats.org/officeDocument/2006/relationships/image" /><Relationship Id="rId104" Target="media/rId104.png" Type="http://schemas.openxmlformats.org/officeDocument/2006/relationships/image" /><Relationship Id="rId62" Target="media/rId62.png" Type="http://schemas.openxmlformats.org/officeDocument/2006/relationships/image" /><Relationship Id="rId10" Target="media/rId10.png" Type="http://schemas.openxmlformats.org/officeDocument/2006/relationships/image" /><Relationship Id="rId108" Target="media/rId108.png" Type="http://schemas.openxmlformats.org/officeDocument/2006/relationships/image" /><Relationship Id="rId66" Target="media/rId66.png" Type="http://schemas.openxmlformats.org/officeDocument/2006/relationships/image" /><Relationship Id="rId29" Target="media/rId29.png" Type="http://schemas.openxmlformats.org/officeDocument/2006/relationships/image" /><Relationship Id="rId112" Target="media/rId112.png" Type="http://schemas.openxmlformats.org/officeDocument/2006/relationships/image" /><Relationship Id="rId70" Target="media/rId70.png" Type="http://schemas.openxmlformats.org/officeDocument/2006/relationships/image" /><Relationship Id="rId40" Target="media/rId40.png" Type="http://schemas.openxmlformats.org/officeDocument/2006/relationships/image" /><Relationship Id="rId116" Target="media/rId116.png" Type="http://schemas.openxmlformats.org/officeDocument/2006/relationships/image" /><Relationship Id="rId44" Target="media/rId44.png" Type="http://schemas.openxmlformats.org/officeDocument/2006/relationships/image" /><Relationship Id="rId120" Target="media/rId120.png" Type="http://schemas.openxmlformats.org/officeDocument/2006/relationships/image" /><Relationship Id="rId80" Target="media/rId80.png" Type="http://schemas.openxmlformats.org/officeDocument/2006/relationships/image" /><Relationship Id="rId34" Target="media/rId34.png" Type="http://schemas.openxmlformats.org/officeDocument/2006/relationships/image" /><Relationship Id="rId54" Target="media/rId54.png" Type="http://schemas.openxmlformats.org/officeDocument/2006/relationships/image" /><Relationship Id="rId74" Target="media/rId74.png" Type="http://schemas.openxmlformats.org/officeDocument/2006/relationships/image" /><Relationship Id="rId84" Target="media/rId84.png" Type="http://schemas.openxmlformats.org/officeDocument/2006/relationships/image" /><Relationship Id="rId88" Target="media/rId88.png" Type="http://schemas.openxmlformats.org/officeDocument/2006/relationships/image" /><Relationship Id="rId92" Target="media/rId92.png" Type="http://schemas.openxmlformats.org/officeDocument/2006/relationships/image" /><Relationship Id="rId124" Target="media/rId124.png" Type="http://schemas.openxmlformats.org/officeDocument/2006/relationships/image" /><Relationship Id="rId129" Target="media/rId129.png" Type="http://schemas.openxmlformats.org/officeDocument/2006/relationships/image" /><Relationship Id="rId133" Target="media/rId133.png" Type="http://schemas.openxmlformats.org/officeDocument/2006/relationships/image" /><Relationship Id="rId137" Target="media/rId137.png" Type="http://schemas.openxmlformats.org/officeDocument/2006/relationships/image" /><Relationship Id="rId141" Target="media/rId141.png" Type="http://schemas.openxmlformats.org/officeDocument/2006/relationships/image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58" Target="media/rId15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</dc:title>
  <dc:creator>Куокконен Дарина Андреевна</dc:creator>
  <dc:language>ru-RU</dc:language>
  <cp:keywords>Julia, M/M/1, queueing theory, discrete-event simulation, Jupyter, Quarto</cp:keywords>
  <dcterms:created xsi:type="dcterms:W3CDTF">2026-08-29T21:58:07Z</dcterms:created>
  <dcterms:modified xsi:type="dcterms:W3CDTF">2026-08-29T21:58:07Z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Реализована дискретно-событийная модель одноканальной системы массового обслуживания M/M/1. Имитационные оценки загрузки, длины очереди и времён ожидания сопоставлены со стационарными формулами. Проведён нагрузочный эксперимент, показавший нелинейный рост задержки при приближении загрузки к единице. Результаты воспроизводятся в Julia и проверяются тестами.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rossref">
    <vt:lpwstr/>
  </property>
  <property fmtid="{D5CDD505-2E9C-101B-9397-08002B2CF9AE}" pid="10" name="csl">
    <vt:lpwstr>_resources/csl/gost-r-7-0-5-2008-numeric.csl</vt:lpwstr>
  </property>
  <property fmtid="{D5CDD505-2E9C-101B-9397-08002B2CF9AE}" pid="11" name="date">
    <vt:lpwstr>2026-08-30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subtitle">
    <vt:lpwstr>Дискретно-событийная модель системы массового обслуживания M/M/1</vt:lpwstr>
  </property>
  <property fmtid="{D5CDD505-2E9C-101B-9397-08002B2CF9AE}" pid="17" name="toc-title">
    <vt:lpwstr>Содержание</vt:lpwstr>
  </property>
</Properties>
</file>