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widowControl/>
        <w:spacing w:after="80"/>
        <w:jc w:val="center"/>
      </w:pPr>
      <w:r>
        <w:rPr>
          <w:rFonts w:ascii="Times New Roman" w:hAnsi="Times New Roman" w:eastAsia="Times New Roman"/>
          <w:b/>
          <w:color w:val="172530"/>
          <w:sz w:val="26"/>
        </w:rPr>
        <w:t>Российский университет дружбы народов имени Патриса Лумумбы</w:t>
      </w:r>
    </w:p>
    <w:p>
      <w:pPr>
        <w:widowControl/>
        <w:spacing w:after="1040"/>
        <w:jc w:val="center"/>
      </w:pPr>
      <w:r>
        <w:rPr>
          <w:rFonts w:ascii="Times New Roman" w:hAnsi="Times New Roman" w:eastAsia="Times New Roman"/>
          <w:color w:val="172530"/>
          <w:sz w:val="24"/>
        </w:rPr>
        <w:t>Дисциплина «Имитационное моделирование»</w:t>
      </w:r>
    </w:p>
    <w:p>
      <w:pPr>
        <w:pStyle w:val="Title"/>
        <w:widowControl/>
        <w:spacing w:before="480" w:after="200"/>
        <w:jc w:val="center"/>
      </w:pPr>
      <w:r>
        <w:rPr>
          <w:rFonts w:ascii="Times New Roman" w:hAnsi="Times New Roman" w:eastAsia="Times New Roman"/>
          <w:b/>
          <w:color w:val="125B74"/>
          <w:sz w:val="40"/>
        </w:rPr>
        <w:t xml:space="preserve">Лабораторная работа № 1</w:t>
      </w:r>
    </w:p>
    <w:p>
      <w:pPr>
        <w:pStyle w:val="Subtitle"/>
        <w:widowControl/>
        <w:spacing w:after="1920"/>
        <w:jc w:val="center"/>
      </w:pPr>
      <w:r>
        <w:rPr>
          <w:rFonts w:ascii="Times New Roman" w:hAnsi="Times New Roman" w:eastAsia="Times New Roman"/>
          <w:i/>
          <w:color w:val="172530"/>
          <w:sz w:val="30"/>
        </w:rPr>
        <w:t xml:space="preserve">Экспоненциальный рост: воспроизводимое численное исследование</w:t>
      </w:r>
    </w:p>
    <w:p>
      <w:pPr>
        <w:pStyle w:val="Author"/>
        <w:widowControl/>
        <w:spacing w:after="80"/>
        <w:jc w:val="right"/>
      </w:pPr>
      <w:r>
        <w:rPr>
          <w:rFonts w:ascii="Times New Roman" w:hAnsi="Times New Roman" w:eastAsia="Times New Roman"/>
          <w:color w:val="172530"/>
          <w:sz w:val="24"/>
        </w:rPr>
        <w:t>Выполнила: Куокконен Дарина Андреевна</w:t>
      </w:r>
    </w:p>
    <w:p>
      <w:pPr>
        <w:widowControl/>
        <w:spacing w:after="1400"/>
        <w:jc w:val="right"/>
      </w:pPr>
      <w:r>
        <w:rPr>
          <w:rFonts w:ascii="Times New Roman" w:hAnsi="Times New Roman" w:eastAsia="Times New Roman"/>
          <w:color w:val="172530"/>
          <w:sz w:val="24"/>
        </w:rPr>
        <w:t>Группа: НФИбд-01-23</w:t>
      </w:r>
    </w:p>
    <w:p>
      <w:pPr>
        <w:pStyle w:val="Date"/>
        <w:widowControl/>
        <w:spacing w:after="0"/>
        <w:jc w:val="center"/>
      </w:pPr>
      <w:r>
        <w:rPr>
          <w:rFonts w:ascii="Times New Roman" w:hAnsi="Times New Roman" w:eastAsia="Times New Roman"/>
          <w:color w:val="172530"/>
          <w:sz w:val="24"/>
        </w:rPr>
        <w:t>Москва, 2026</w:t>
      </w:r>
      <w:r>
        <w:rPr>
          <w:rFonts w:ascii="Times New Roman" w:hAnsi="Times New Roman" w:eastAsia="Times New Roman"/>
        </w:rPr>
        <w:br w:type="page"/>
      </w:r>
    </w:p>
    <w:p>
      <w:pPr>
        <w:pStyle w:val="AbstractTitle"/>
        <w:widowControl/>
      </w:pPr>
      <w:r>
        <w:rPr>
          <w:rFonts w:ascii="Times New Roman" w:hAnsi="Times New Roman" w:eastAsia="Times New Roman"/>
        </w:rPr>
        <w:t xml:space="preserve">Аннотация</w:t>
      </w:r>
    </w:p>
    <w:p>
      <w:pPr>
        <w:pStyle w:val="Abstract"/>
        <w:widowControl/>
      </w:pPr>
      <w:r>
        <w:rPr>
          <w:rFonts w:ascii="Times New Roman" w:hAnsi="Times New Roman" w:eastAsia="Times New Roman"/>
        </w:rPr>
        <w:t xml:space="preserve">В работе построена и проверена модель экспоненциального роста</w:t>
      </w:r>
      <w:r>
        <w:rPr>
          <w:rFonts w:ascii="Times New Roman" w:hAnsi="Times New Roman" w:eastAsia="Times New Roman"/>
        </w:rP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rPr>
          <w:rFonts w:ascii="Times New Roman" w:hAnsi="Times New Roman" w:eastAsia="Times New Roman"/>
        </w:rPr>
        <w:t xml:space="preserve">. Реализованы одиночный и параметрический эксперименты,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выполнено сравнение численного решения с аналитическим, измерено время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вычислений и сформирован воспроизводимый конвейер: литературный исходный код,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чистые Julia-скрипты, Jupyter-ноутбуки, Quarto-документы, тесты, графики 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версионирование в двух удалённых репозиториях.</w:t>
      </w:r>
    </w:p>
    <w:bookmarkStart w:id="9" w:name="содержание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Содержание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Цель и постановка задачи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Теоретическая часть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Среда и организация проекта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Реализация модели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Производные форматы и ноутбуки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Проверка и управление версиями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Воспроизводимость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Выводы</w:t>
      </w:r>
    </w:p>
    <w:p>
      <w:pPr>
        <w:pStyle w:val="Compact"/>
        <w:widowControl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Источники</w:t>
      </w:r>
    </w:p>
    <w:p>
      <w:pPr>
        <w:widowControl/>
      </w:pPr>
      <w:r>
        <w:rPr>
          <w:rFonts w:ascii="Times New Roman" w:hAnsi="Times New Roman" w:eastAsia="Times New Roman"/>
        </w:rPr>
        <w:br w:type="page"/>
      </w:r>
    </w:p>
    <w:bookmarkEnd w:id="9"/>
    <w:bookmarkStart w:id="14" w:name="цель-и-постановка-задачи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1. Цель и постановка задачи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Цель работы — подготовить воспроизводимое рабочее пространство для курса по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имитационному моделированию и исследовать простейшую динамическую модель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экспоненциального роста средствами Julia.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В соответствии с методическими указаниями требовалось: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создать каталог курса и отдельное рабочее пространство лабораторной работы;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установить пакеты для решения ОДУ, организации проекта, обработки данных,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визуализации и литературного программирования;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реализовать модель для одного набора параметров и для сетки значений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коэффициента роста;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получить из литературного исходного кода чистые скрипты, два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Jupyter-ноутбука и два Quarto-документа;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выполнить оба ноутбука, проверить результаты и включить документацию в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отчёт;</w:t>
      </w:r>
    </w:p>
    <w:p>
      <w:pPr>
        <w:pStyle w:val="Compact"/>
        <w:widowControl/>
        <w:numPr>
          <w:ilvl w:val="0"/>
          <w:numId w:val="1002"/>
        </w:numPr>
      </w:pPr>
      <w:r>
        <w:rPr>
          <w:rFonts w:ascii="Times New Roman" w:hAnsi="Times New Roman" w:eastAsia="Times New Roman"/>
        </w:rPr>
        <w:t xml:space="preserve">зафиксировать результат тестами, коммитами, тегом и релизом.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3" w:name="fig-lab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1: Проверка структуры курса: в репозитории предусмотрено восемь лабораторных работ</w:t>
            </w:r>
          </w:p>
          <w:bookmarkEnd w:id="13"/>
        </w:tc>
      </w:tr>
    </w:tbl>
    <w:bookmarkEnd w:id="14"/>
    <w:bookmarkStart w:id="20" w:name="теоретическая-часть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2. Теоретическая часть</w:t>
      </w:r>
    </w:p>
    <w:bookmarkStart w:id="18" w:name="модель-экспоненциального-роста"/>
    <w:p>
      <w:pPr>
        <w:pStyle w:val="Heading2"/>
        <w:widowControl/>
      </w:pPr>
      <w:r>
        <w:rPr>
          <w:rFonts w:ascii="Times New Roman" w:hAnsi="Times New Roman" w:eastAsia="Times New Roman"/>
        </w:rPr>
        <w:t xml:space="preserve">2.1 Модель экспоненциального роста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Пусть</w:t>
      </w:r>
      <w:r>
        <w:rPr>
          <w:rFonts w:ascii="Times New Roman" w:hAnsi="Times New Roman" w:eastAsia="Times New Roman"/>
        </w:rP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моделируемая величина, а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постоянная относительная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скорость её изменения. Модель задаётся задачей Коши</w:t>
      </w:r>
    </w:p>
    <w:p>
      <w:pPr>
        <w:pStyle w:val="BodyText"/>
        <w:widowControl/>
      </w:pPr>
      <w:bookmarkStart w:id="15" w:name="eq-model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Разделяя переменные и интегрируя, получаем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u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α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u</m:t>
          </m:r>
          <m:r>
            <m:rPr>
              <m:sty m:val="p"/>
            </m:rPr>
            <m:t>=</m:t>
          </m:r>
          <m:r>
            <m:t>α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откуда с учётом начального условия следует аналитическое решение</w:t>
      </w:r>
    </w:p>
    <w:p>
      <w:pPr>
        <w:pStyle w:val="BodyText"/>
        <w:widowControl/>
      </w:pPr>
      <w:bookmarkStart w:id="16" w:name="eq-analytic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При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величина растёт, при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остаётся постоянной, а при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убывает. Время удвоения определяется из условия</w:t>
      </w:r>
      <w:r>
        <w:rPr>
          <w:rFonts w:ascii="Times New Roman" w:hAnsi="Times New Roman" w:eastAsia="Times New Roman"/>
        </w:rP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</w:rPr>
        <w:t xml:space="preserve">:</w:t>
      </w:r>
    </w:p>
    <w:p>
      <w:pPr>
        <w:pStyle w:val="BodyText"/>
        <w:widowControl/>
      </w:pPr>
      <w:bookmarkStart w:id="17" w:name="eq-doubling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Модель применима для приближённого описания роста популяции при отсутствии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ограничений, сложного процента и начальной стадии эпидемии. Её ограничение —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неизменная относительная скорость роста: реальные системы обычно сталкиваются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 дефицитом ресурсов, поэтому на больших временах модель переоценивает рост.</w:t>
      </w:r>
    </w:p>
    <w:bookmarkEnd w:id="18"/>
    <w:bookmarkStart w:id="19" w:name="численное-решение"/>
    <w:p>
      <w:pPr>
        <w:pStyle w:val="Heading2"/>
        <w:widowControl/>
      </w:pPr>
      <w:r>
        <w:rPr>
          <w:rFonts w:ascii="Times New Roman" w:hAnsi="Times New Roman" w:eastAsia="Times New Roman"/>
        </w:rPr>
        <w:t xml:space="preserve">2.2 Численное решение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Задача оформлена как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ODEProblem</w:t>
      </w:r>
      <w:r>
        <w:rPr>
          <w:rFonts w:ascii="Times New Roman" w:hAnsi="Times New Roman" w:eastAsia="Times New Roman"/>
        </w:rPr>
        <w:t xml:space="preserve">, а интегрирование выполнено методом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Tsit5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из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DifferentialEquations.jl</w:t>
      </w:r>
      <w:r>
        <w:rPr>
          <w:rFonts w:ascii="Times New Roman" w:hAnsi="Times New Roman" w:eastAsia="Times New Roman"/>
        </w:rPr>
        <w:t xml:space="preserve">. Численное решение сравнивается с формулой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</w:t>
      </w:r>
      <w:hyperlink w:anchor="eq-analytic">
        <w:r>
          <w:rPr>
            <w:rStyle w:val="Hyperlink"/>
          </w:rPr>
          <w:t xml:space="preserve">Уравнение 2</w:t>
        </w:r>
      </w:hyperlink>
      <w:r>
        <w:rPr>
          <w:rFonts w:ascii="Times New Roman" w:hAnsi="Times New Roman" w:eastAsia="Times New Roman"/>
        </w:rPr>
        <w:t xml:space="preserve">) в каждой сохранённой точке. Контрольная величина — относительная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ошибка в момент</w:t>
      </w:r>
      <w:r>
        <w:rPr>
          <w:rFonts w:ascii="Times New Roman" w:hAnsi="Times New Roman" w:eastAsia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/>
        </w:rPr>
        <w:t xml:space="preserve">: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bookmarkEnd w:id="19"/>
    <w:bookmarkEnd w:id="20"/>
    <w:bookmarkStart w:id="38" w:name="среда-и-организация-проекта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3. Среда и организация проекта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Работа выполнялась в изолированном Docker-контейнере от пользователя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dakuokkonen</w:t>
      </w:r>
      <w:r>
        <w:rPr>
          <w:rFonts w:ascii="Times New Roman" w:hAnsi="Times New Roman" w:eastAsia="Times New Roman"/>
        </w:rPr>
        <w:t xml:space="preserve">. Исходный образ основан на Julia 1.11, а зависимости закреплены в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Project.toml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Manifest.toml</w:t>
      </w:r>
      <w:r>
        <w:rPr>
          <w:rFonts w:ascii="Times New Roman" w:hAnsi="Times New Roman" w:eastAsia="Times New Roman"/>
        </w:rPr>
        <w:t xml:space="preserve">. Поэтому локальные настройки других проектов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не меняются, а результаты можно повторить на другом компьютере.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24" w:name="fig-user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2: Проверка пользователя, каталога проекта и конфигурации Git</w:t>
            </w:r>
          </w:p>
          <w:bookmarkEnd w:id="24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28" w:name="fig-remote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3: Изолированные удалённые репозитории GitHub и GitVerse</w:t>
            </w:r>
          </w:p>
          <w:bookmarkEnd w:id="28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32" w:name="fig-env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/04-terminal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4: Состав воспроизводимой среды лабораторной работы</w:t>
            </w:r>
          </w:p>
          <w:bookmarkEnd w:id="32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Основные зависимости приведены в</w:t>
      </w:r>
      <w:r>
        <w:rPr>
          <w:rFonts w:ascii="Times New Roman" w:hAnsi="Times New Roman" w:eastAsia="Times New Roman"/>
        </w:rPr>
        <w:t xml:space="preserve"> </w:t>
      </w:r>
      <w:hyperlink w:anchor="tbl-deps">
        <w:r>
          <w:rPr>
            <w:rStyle w:val="Hyperlink"/>
          </w:rPr>
          <w:t xml:space="preserve">Таблица 1</w:t>
        </w:r>
      </w:hyperlink>
      <w:r>
        <w:rPr>
          <w:rFonts w:ascii="Times New Roman" w:hAnsi="Times New Roman" w:eastAsia="Times New Roman"/>
        </w:rP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33" w:name="tbl-deps"/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Таблица 1: Закреплённые версии основных пакетов</w:t>
            </w:r>
          </w:p>
          <w:tbl>
            <w:tblPr>
              <w:tblStyle w:val="Table"/>
              <w:tblW w:type="dxa" w:w="8901"/>
              <w:jc w:val="center"/>
              <w:tblLayout w:type="fixed"/>
              <w:tblLook w:firstRow="1" w:lastRow="0" w:firstColumn="0" w:lastColumn="0" w:noHBand="0" w:noVBand="0" w:val="0020"/>
              <w:tblInd w:type="dxa" w:w="0"/>
            </w:tblPr>
            <w:tblGrid>
              <w:gridCol w:w="2721"/>
              <w:gridCol w:w="1361"/>
              <w:gridCol w:w="4819"/>
            </w:tblGrid>
            <w:tr>
              <w:trPr>
                <w:tblHeader w:val="on"/>
              </w:trP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Пакет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Версия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Назначение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DifferentialEquations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8.1.1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постановка и численное решение задачи Коши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DrWatson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2.19.1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структура проекта, пути и параметрические эксперименты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DataFrames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1.8.2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табличное представление результатов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CSV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0.10.17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сохранение сводных таблиц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Plots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1.41.7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построение и сохранение графиков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JLD2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0.6.6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сохранение объектов Julia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Literate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2.21.0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генерация скриптов, QMD и IPYNB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IJulia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1.34.4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ядро Julia для Jupyter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BenchmarkTools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1.8.0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воспроизводимое измерение времени</w:t>
                  </w:r>
                </w:p>
              </w:tc>
            </w:tr>
            <w:tr>
              <w:tc>
                <w:tcPr>
                  <w:tcW w:type="dxa" w:w="272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Style w:val="VerbatimChar"/>
                      <w:rFonts w:ascii="Times New Roman" w:hAnsi="Times New Roman" w:eastAsia="Times New Roman"/>
                      <w:b w:val="0"/>
                      <w:sz w:val="20"/>
                    </w:rPr>
                    <w:t xml:space="preserve">Quarto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1.0.0</w:t>
                  </w:r>
                </w:p>
              </w:tc>
              <w:tc>
                <w:tcPr>
                  <w:tcW w:type="dxa" w:w="4819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программная сборка документации из Julia</w:t>
                  </w:r>
                </w:p>
              </w:tc>
            </w:tr>
          </w:tbl>
          <w:bookmarkEnd w:id="33"/>
          <w:p>
            <w:pPr>
              <w:spacing w:before="40" w:after="40" w:line="240" w:lineRule="auto"/>
              <w:ind w:firstLine="0"/>
            </w:pPr>
          </w:p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37" w:name="fig-pkg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image/08-terminal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5: Вывод состояния Julia-проекта и установленных пакетов</w:t>
            </w:r>
          </w:p>
          <w:bookmarkEnd w:id="37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Структура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labs/lab01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разделяет модель, сценарии, данные, графики, ноутбуки,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документацию, тесты, отчёт и презентацию. Управляющие команды собраны в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Makefile</w:t>
      </w:r>
      <w:r>
        <w:rPr>
          <w:rFonts w:ascii="Times New Roman" w:hAnsi="Times New Roman" w:eastAsia="Times New Roman"/>
        </w:rPr>
        <w:t xml:space="preserve">; контейнер подключает только каталог текущего репозитория.</w:t>
      </w:r>
    </w:p>
    <w:bookmarkEnd w:id="38"/>
    <w:bookmarkStart w:id="79" w:name="реализация-модели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4. Реализация модели</w:t>
      </w:r>
    </w:p>
    <w:bookmarkStart w:id="39" w:name="общий-модуль"/>
    <w:p>
      <w:pPr>
        <w:pStyle w:val="Heading2"/>
        <w:widowControl/>
      </w:pPr>
      <w:r>
        <w:rPr>
          <w:rFonts w:ascii="Times New Roman" w:hAnsi="Times New Roman" w:eastAsia="Times New Roman"/>
        </w:rPr>
        <w:t xml:space="preserve">4.1 Общий модуль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Повторяющиеся математические операции вынесены в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src/exponential_growth.jl</w:t>
      </w:r>
      <w:r>
        <w:rPr>
          <w:rFonts w:ascii="Times New Roman" w:hAnsi="Times New Roman" w:eastAsia="Times New Roman"/>
        </w:rPr>
        <w:t xml:space="preserve">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Правая часть ОДУ принимает как число, так и именованный кортеж параметров, что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позволяет использовать одну модель в обоих экспериментах.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Ключевые функции общего модуля приведены в листинге 1. Именно этот файл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подключается обоими вычислительными сценариями.</w:t>
      </w:r>
    </w:p>
    <w:p>
      <w:pPr>
        <w:pStyle w:val="SourceCode"/>
        <w:widowControl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?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p.alpha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</w:p>
    <w:p>
      <w:pPr>
        <w:pStyle w:val="FirstParagraph"/>
        <w:widowControl/>
        <w:spacing w:line="240" w:lineRule="auto" w:before="40" w:after="200"/>
        <w:ind w:firstLine="0"/>
        <w:jc w:val="center"/>
      </w:pPr>
      <w:r>
        <w:rPr>
          <w:rFonts w:ascii="Times New Roman" w:hAnsi="Times New Roman" w:eastAsia="Times New Roman"/>
          <w:i/>
          <w:color w:val="172530"/>
          <w:sz w:val="20"/>
        </w:rPr>
        <w:t xml:space="preserve">Листинг 1 — Общий модуль модели</w:t>
      </w:r>
      <w:r>
        <w:rPr>
          <w:rFonts w:ascii="Times New Roman" w:hAnsi="Times New Roman" w:eastAsia="Times New Roman"/>
          <w:i/>
          <w:color w:val="172530"/>
          <w:sz w:val="20"/>
        </w:rPr>
        <w:t xml:space="preserve"> </w:t>
      </w:r>
      <w:r>
        <w:rPr>
          <w:rStyle w:val="VerbatimChar"/>
          <w:rFonts w:ascii="Times New Roman" w:hAnsi="Times New Roman" w:eastAsia="Times New Roman"/>
          <w:i/>
          <w:color w:val="172530"/>
          <w:sz w:val="20"/>
        </w:rPr>
        <w:t xml:space="preserve">src/exponential_growth.jl</w:t>
      </w:r>
    </w:p>
    <w:bookmarkEnd w:id="39"/>
    <w:bookmarkStart w:id="52" w:name="одиночный-эксперимент"/>
    <w:p>
      <w:pPr>
        <w:pStyle w:val="Heading2"/>
        <w:widowControl/>
      </w:pPr>
      <w:r>
        <w:rPr>
          <w:rFonts w:ascii="Times New Roman" w:hAnsi="Times New Roman" w:eastAsia="Times New Roman"/>
        </w:rPr>
        <w:t xml:space="preserve">4.2 Одиночный эксперимент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Для базового эксперимента использованы параметры</w:t>
      </w:r>
      <w:r>
        <w:rPr>
          <w:rFonts w:ascii="Times New Roman" w:hAnsi="Times New Roman" w:eastAsia="Times New Roman"/>
        </w:rP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/>
        </w:rPr>
        <w:t xml:space="preserve">, шаг сохранения</w:t>
      </w:r>
      <w:r>
        <w:rPr>
          <w:rFonts w:ascii="Times New Roman" w:hAnsi="Times New Roman" w:eastAsia="Times New Roman"/>
        </w:rPr>
        <w:t xml:space="preserve"> </w:t>
      </w:r>
      <m:oMath>
        <m:r>
          <m:t>0.1</m:t>
        </m:r>
      </m:oMath>
      <w:r>
        <w:rPr>
          <w:rFonts w:ascii="Times New Roman" w:hAnsi="Times New Roman" w:eastAsia="Times New Roman"/>
        </w:rPr>
        <w:t xml:space="preserve">. Литературный скрипт одновременно содержит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объяснение и исполняемый Julia-код.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В листинге 2 показана основная вычислительная часть сценария: постановка задачи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Коши, решение методом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Tsit5</w:t>
      </w:r>
      <w:r>
        <w:rPr>
          <w:rFonts w:ascii="Times New Roman" w:hAnsi="Times New Roman" w:eastAsia="Times New Roman"/>
        </w:rPr>
        <w:t xml:space="preserve">, формирование таблицы и сохранение графика. Полный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файл находится по пути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scripts/01_exponential_growth.jl</w:t>
      </w:r>
      <w:r>
        <w:rPr>
          <w:rFonts w:ascii="Times New Roman" w:hAnsi="Times New Roman" w:eastAsia="Times New Roman"/>
        </w:rPr>
        <w:t xml:space="preserve">.</w:t>
      </w:r>
    </w:p>
    <w:p>
      <w:pPr>
        <w:pStyle w:val="SourceCode"/>
        <w:widowControl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  <w:r>
        <w:br/>
      </w:r>
      <w:r>
        <w:br/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(results.time,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(trajectory_plot, results.time,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</w:p>
    <w:p>
      <w:pPr>
        <w:pStyle w:val="FirstParagraph"/>
        <w:widowControl/>
        <w:spacing w:line="240" w:lineRule="auto" w:before="40" w:after="200"/>
        <w:ind w:firstLine="0"/>
        <w:jc w:val="center"/>
      </w:pPr>
      <w:r>
        <w:rPr>
          <w:rFonts w:ascii="Times New Roman" w:hAnsi="Times New Roman" w:eastAsia="Times New Roman"/>
          <w:i/>
          <w:color w:val="172530"/>
          <w:sz w:val="20"/>
        </w:rPr>
        <w:t xml:space="preserve">Листинг 2 — Основная часть</w:t>
      </w:r>
      <w:r>
        <w:rPr>
          <w:rFonts w:ascii="Times New Roman" w:hAnsi="Times New Roman" w:eastAsia="Times New Roman"/>
          <w:i/>
          <w:color w:val="172530"/>
          <w:sz w:val="20"/>
        </w:rPr>
        <w:t xml:space="preserve"> </w:t>
      </w:r>
      <w:r>
        <w:rPr>
          <w:rStyle w:val="VerbatimChar"/>
          <w:rFonts w:ascii="Times New Roman" w:hAnsi="Times New Roman" w:eastAsia="Times New Roman"/>
          <w:i/>
          <w:color w:val="172530"/>
          <w:sz w:val="20"/>
        </w:rPr>
        <w:t xml:space="preserve">scripts/01_exponential_growth.jl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43" w:name="fig-lit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/05-termina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6: Фрагмент литературного исходного кода первого эксперимента</w:t>
            </w:r>
          </w:p>
          <w:bookmarkEnd w:id="43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47" w:name="fig-repl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image/06-terminal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7: Проверка модели в интерактивном сеансе Julia</w:t>
            </w:r>
          </w:p>
          <w:bookmarkEnd w:id="47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После запуска получена 101 точка траектории. В момент</w:t>
      </w:r>
      <w:r>
        <w:rPr>
          <w:rFonts w:ascii="Times New Roman" w:hAnsi="Times New Roman" w:eastAsia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численное значение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равно</w:t>
      </w:r>
      <w:r>
        <w:rPr>
          <w:rFonts w:ascii="Times New Roman" w:hAnsi="Times New Roman" w:eastAsia="Times New Roman"/>
        </w:rPr>
        <w:t xml:space="preserve"> </w:t>
      </w:r>
      <m:oMath>
        <m:r>
          <m:t>20.0854485</m:t>
        </m:r>
      </m:oMath>
      <w:r>
        <w:rPr>
          <w:rFonts w:ascii="Times New Roman" w:hAnsi="Times New Roman" w:eastAsia="Times New Roman"/>
        </w:rPr>
        <w:t xml:space="preserve">, аналитическое —</w:t>
      </w:r>
      <w:r>
        <w:rPr>
          <w:rFonts w:ascii="Times New Roman" w:hAnsi="Times New Roman" w:eastAsia="Times New Roman"/>
        </w:rPr>
        <w:t xml:space="preserve"> </w:t>
      </w:r>
      <m:oMath>
        <m:r>
          <m:t>20.0855369</m:t>
        </m:r>
      </m:oMath>
      <w:r>
        <w:rPr>
          <w:rFonts w:ascii="Times New Roman" w:hAnsi="Times New Roman" w:eastAsia="Times New Roman"/>
        </w:rPr>
        <w:t xml:space="preserve">, абсолютная ошибка —</w:t>
      </w:r>
      <w:r>
        <w:rPr>
          <w:rFonts w:ascii="Times New Roman" w:hAnsi="Times New Roman" w:eastAsia="Times New Roman"/>
        </w:rPr>
        <w:t xml:space="preserve"> </w:t>
      </w:r>
      <m:oMath>
        <m:r>
          <m:t>8.84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/>
        </w:rPr>
        <w:t xml:space="preserve">, относительная ошибка — приблизительно</w:t>
      </w:r>
      <w:r>
        <w:rPr>
          <w:rFonts w:ascii="Times New Roman" w:hAnsi="Times New Roman" w:eastAsia="Times New Roman"/>
        </w:rPr>
        <w:t xml:space="preserve"> </w:t>
      </w:r>
      <m:oMath>
        <m:r>
          <m:t>4.40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/>
        </w:rPr>
        <w:t xml:space="preserve">. Теоретическое время удвоения равно</w:t>
      </w:r>
      <w:r>
        <w:rPr>
          <w:rFonts w:ascii="Times New Roman" w:hAnsi="Times New Roman" w:eastAsia="Times New Roman"/>
        </w:rPr>
        <w:t xml:space="preserve"> </w:t>
      </w:r>
      <m:oMath>
        <m:r>
          <m:t>2.31049</m:t>
        </m:r>
      </m:oMath>
      <w:r>
        <w:rPr>
          <w:rFonts w:ascii="Times New Roman" w:hAnsi="Times New Roman" w:eastAsia="Times New Roman"/>
        </w:rP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51" w:name="fig-single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373880" cy="2624328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62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8: Сравнение численного и аналитического решений</w:t>
            </w:r>
          </w:p>
          <w:bookmarkEnd w:id="51"/>
        </w:tc>
      </w:tr>
    </w:tbl>
    <w:bookmarkEnd w:id="52"/>
    <w:bookmarkStart w:id="78" w:name="параметрическое-исследование"/>
    <w:p>
      <w:pPr>
        <w:pStyle w:val="Heading2"/>
        <w:widowControl/>
      </w:pPr>
      <w:r>
        <w:rPr>
          <w:rFonts w:ascii="Times New Roman" w:hAnsi="Times New Roman" w:eastAsia="Times New Roman"/>
        </w:rPr>
        <w:t xml:space="preserve">4.3 Параметрическое исследование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Вторая программа организует вычисления как набор экспериментов. Изменяется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/>
        </w:rPr>
        <w:t xml:space="preserve">, а</w:t>
      </w:r>
      <w:r>
        <w:rPr>
          <w:rFonts w:ascii="Times New Roman" w:hAnsi="Times New Roman" w:eastAsia="Times New Roman"/>
        </w:rP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</w:rPr>
        <w:t xml:space="preserve">, интервал времени, решатель и шаг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сохранения остаются постоянными.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DrWatson.produce_or_load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формирует имя файла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из параметров и повторно использует уже рассчитанный результат.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Функция одного запуска и обход сетки параметров приведены в листинге 3. Такое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разделение позволяет добавлять новые значения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без дублирования кода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численного решения.</w:t>
      </w:r>
    </w:p>
    <w:p>
      <w:pPr>
        <w:pStyle w:val="SourceCode"/>
        <w:widowControl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(summary_rows, (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  <w:widowControl/>
        <w:spacing w:line="240" w:lineRule="auto" w:before="40" w:after="200"/>
        <w:ind w:firstLine="0"/>
        <w:jc w:val="center"/>
      </w:pPr>
      <w:r>
        <w:rPr>
          <w:rFonts w:ascii="Times New Roman" w:hAnsi="Times New Roman" w:eastAsia="Times New Roman"/>
          <w:i/>
          <w:color w:val="172530"/>
          <w:sz w:val="20"/>
        </w:rPr>
        <w:t xml:space="preserve">Листинг 3 — Функция эксперимента и сетка параметров в</w:t>
      </w:r>
      <w:r>
        <w:rPr>
          <w:rFonts w:ascii="Times New Roman" w:hAnsi="Times New Roman" w:eastAsia="Times New Roman"/>
          <w:i/>
          <w:color w:val="172530"/>
          <w:sz w:val="20"/>
        </w:rPr>
        <w:t xml:space="preserve"> </w:t>
      </w:r>
      <w:r>
        <w:rPr>
          <w:rStyle w:val="VerbatimChar"/>
          <w:rFonts w:ascii="Times New Roman" w:hAnsi="Times New Roman" w:eastAsia="Times New Roman"/>
          <w:i/>
          <w:color w:val="172530"/>
          <w:sz w:val="20"/>
        </w:rPr>
        <w:t xml:space="preserve">scripts/02_exponential_growth.jl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53" w:name="tbl-param"/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Таблица 2: Сводные результаты параметрического сканирования</w:t>
            </w:r>
          </w:p>
          <w:tbl>
            <w:tblPr>
              <w:tblStyle w:val="Table"/>
              <w:tblW w:type="dxa" w:w="8901"/>
              <w:jc w:val="center"/>
              <w:tblLayout w:type="fixed"/>
              <w:tblLook w:firstRow="1" w:lastRow="0" w:firstColumn="0" w:lastColumn="0" w:noHBand="0" w:noVBand="0" w:val="0020"/>
              <w:tblInd w:type="dxa" w:w="0"/>
            </w:tblPr>
            <w:tblGrid>
              <w:gridCol w:w="2948"/>
              <w:gridCol w:w="2948"/>
              <w:gridCol w:w="3005"/>
            </w:tblGrid>
            <w:tr>
              <w:trPr>
                <w:tblHeader w:val="on"/>
              </w:trP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m:oMath>
                    <m:r>
                      <m:t>α</m:t>
                    </m:r>
                  </m:oMath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​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​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α</m:t>
                    </m:r>
                  </m:oMath>
                  <w:r>
                    <w:rPr>
                      <w:rFonts w:ascii="Times New Roman" w:hAnsi="Times New Roman" w:eastAsia="Times New Roman"/>
                      <w:b/>
                      <w:sz w:val="20"/>
                    </w:rPr>
                    <w:t xml:space="preserve">​</w:t>
                  </w:r>
                </w:p>
              </w:tc>
            </w:tr>
            <w:t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0.1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2.7183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6.9315</w:t>
                  </w:r>
                </w:p>
              </w:tc>
            </w:tr>
            <w:t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0.3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20.0854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2.3105</w:t>
                  </w:r>
                </w:p>
              </w:tc>
            </w:tr>
            <w:t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0.5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148.4086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1.3863</w:t>
                  </w:r>
                </w:p>
              </w:tc>
            </w:tr>
            <w:t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0.8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2 980.5736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0.8664</w:t>
                  </w:r>
                </w:p>
              </w:tc>
            </w:tr>
            <w:tr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1.0</w:t>
                  </w:r>
                </w:p>
              </w:tc>
              <w:tc>
                <w:tcPr>
                  <w:tcW w:type="dxa" w:w="2948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center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22 021.0156</w:t>
                  </w:r>
                </w:p>
              </w:tc>
              <w:tc>
                <w:tcPr>
                  <w:tcW w:type="dxa" w:w="3005"/>
                  <w:vAlign w:val="center"/>
                </w:tcPr>
                <w:p>
                  <w:pPr>
                    <w:pStyle w:val="Compact"/>
                    <w:spacing w:before="40" w:after="40" w:line="240" w:lineRule="auto"/>
                    <w:ind w:firstLine="0"/>
                    <w:jc w:val="left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sz w:val="20"/>
                    </w:rPr>
                    <w:t xml:space="preserve">0.6931</w:t>
                  </w:r>
                </w:p>
              </w:tc>
            </w:tr>
          </w:tbl>
          <w:bookmarkEnd w:id="53"/>
          <w:p>
            <w:pPr>
              <w:spacing w:before="40" w:after="40" w:line="240" w:lineRule="auto"/>
              <w:ind w:firstLine="0"/>
            </w:pPr>
          </w:p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57" w:name="fig-param-terminal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09-terminal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9: Таблица параметрического эксперимента в терминале</w:t>
            </w:r>
          </w:p>
          <w:bookmarkEnd w:id="57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61" w:name="fig-base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373880" cy="262432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62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10: Траектория базового параметрического эксперимента</w:t>
            </w:r>
          </w:p>
          <w:bookmarkEnd w:id="61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65" w:name="fig-scan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373880" cy="2624328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62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11: Сравнение траекторий для пяти значений коэффициента роста</w:t>
            </w:r>
          </w:p>
          <w:bookmarkEnd w:id="65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С ростом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итоговое значение меняется на несколько порядков, поэтому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линии больших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визуально доминируют на общей линейной шкале. Время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удвоения, напротив, монотонно уменьшается и точно следует обратной зависимости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</w:t>
      </w:r>
      <w:hyperlink w:anchor="eq-doubling">
        <w:r>
          <w:rPr>
            <w:rStyle w:val="Hyperlink"/>
          </w:rPr>
          <w:t xml:space="preserve">Уравнение 3</w:t>
        </w:r>
      </w:hyperlink>
      <w:r>
        <w:rPr>
          <w:rFonts w:ascii="Times New Roman" w:hAnsi="Times New Roman" w:eastAsia="Times New Roman"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69" w:name="fig-double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373880" cy="2624328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62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12: Теоретическая и экспериментальная зависимости времени удвоения</w:t>
            </w:r>
          </w:p>
          <w:bookmarkEnd w:id="69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Бенчмарк показал время одного решения порядка</w:t>
      </w:r>
      <w:r>
        <w:rPr>
          <w:rFonts w:ascii="Times New Roman" w:hAnsi="Times New Roman" w:eastAsia="Times New Roman"/>
        </w:rPr>
        <w:t xml:space="preserve"> </w:t>
      </w:r>
      <m:oMath>
        <m:r>
          <m:t>6</m:t>
        </m:r>
      </m:oMath>
      <w:r>
        <w:rPr>
          <w:rFonts w:ascii="Times New Roman" w:hAnsi="Times New Roman" w:eastAsia="Times New Roman"/>
        </w:rPr>
        <w:t xml:space="preserve">–</w:t>
      </w:r>
      <m:oMath>
        <m:r>
          <m:t>8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мкс. Небольшой разброс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между значениями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не образует устойчивого тренда: вычислительная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сложность на выбранном интервале определяется главным образом одинаковыми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настройками решателя и сохранения.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73" w:name="fig-bench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373880" cy="2624328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3880" cy="262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13: Время численного решения для разных значений параметра</w:t>
            </w:r>
          </w:p>
          <w:bookmarkEnd w:id="73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77" w:name="fig-result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/10-terminal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14: Созданные файлы данных и графиков</w:t>
            </w:r>
          </w:p>
          <w:bookmarkEnd w:id="77"/>
        </w:tc>
      </w:tr>
    </w:tbl>
    <w:bookmarkEnd w:id="78"/>
    <w:bookmarkEnd w:id="79"/>
    <w:bookmarkStart w:id="128" w:name="производные-форматы-и-ноутбуки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5. Производные форматы и ноутбуки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Сценарий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scripts/tangle.jl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обрабатывает каждый литературный исходник через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Literate.jl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 создаёт три представления:</w:t>
      </w:r>
    </w:p>
    <w:p>
      <w:pPr>
        <w:pStyle w:val="Compact"/>
        <w:widowControl/>
        <w:numPr>
          <w:ilvl w:val="0"/>
          <w:numId w:val="1003"/>
        </w:numPr>
      </w:pPr>
      <w:r>
        <w:rPr>
          <w:rFonts w:ascii="Times New Roman" w:hAnsi="Times New Roman" w:eastAsia="Times New Roman"/>
        </w:rPr>
        <w:t xml:space="preserve">чистый Julia-скрипт для пакетного запуска;</w:t>
      </w:r>
    </w:p>
    <w:p>
      <w:pPr>
        <w:pStyle w:val="Compact"/>
        <w:widowControl/>
        <w:numPr>
          <w:ilvl w:val="0"/>
          <w:numId w:val="1003"/>
        </w:numPr>
      </w:pPr>
      <w:r>
        <w:rPr>
          <w:rFonts w:ascii="Times New Roman" w:hAnsi="Times New Roman" w:eastAsia="Times New Roman"/>
        </w:rPr>
        <w:t xml:space="preserve">Quarto-документ для читаемой HTML-документации;</w:t>
      </w:r>
    </w:p>
    <w:p>
      <w:pPr>
        <w:pStyle w:val="Compact"/>
        <w:widowControl/>
        <w:numPr>
          <w:ilvl w:val="0"/>
          <w:numId w:val="1003"/>
        </w:numPr>
      </w:pPr>
      <w:r>
        <w:rPr>
          <w:rFonts w:ascii="Times New Roman" w:hAnsi="Times New Roman" w:eastAsia="Times New Roman"/>
        </w:rPr>
        <w:t xml:space="preserve">Jupyter-ноутбук для интерактивного воспроизведения.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В листинге 4 показано, как для каждого исходного файла создаются согласованные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версии Julia, IPYNB и QMD в предназначенных для них каталогах.</w:t>
      </w:r>
    </w:p>
    <w:p>
      <w:pPr>
        <w:pStyle w:val="SourceCode"/>
        <w:widowControl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  <w:widowControl/>
        <w:spacing w:line="240" w:lineRule="auto" w:before="40" w:after="200"/>
        <w:ind w:firstLine="0"/>
        <w:jc w:val="center"/>
      </w:pPr>
      <w:r>
        <w:rPr>
          <w:rFonts w:ascii="Times New Roman" w:hAnsi="Times New Roman" w:eastAsia="Times New Roman"/>
          <w:i/>
          <w:color w:val="172530"/>
          <w:sz w:val="20"/>
        </w:rPr>
        <w:t xml:space="preserve">Листинг 4 — Генератор производных форматов</w:t>
      </w:r>
      <w:r>
        <w:rPr>
          <w:rFonts w:ascii="Times New Roman" w:hAnsi="Times New Roman" w:eastAsia="Times New Roman"/>
          <w:i/>
          <w:color w:val="172530"/>
          <w:sz w:val="20"/>
        </w:rPr>
        <w:t xml:space="preserve"> </w:t>
      </w:r>
      <w:r>
        <w:rPr>
          <w:rStyle w:val="VerbatimChar"/>
          <w:rFonts w:ascii="Times New Roman" w:hAnsi="Times New Roman" w:eastAsia="Times New Roman"/>
          <w:i/>
          <w:color w:val="172530"/>
          <w:sz w:val="20"/>
        </w:rPr>
        <w:t xml:space="preserve">scripts/tangle.jl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83" w:name="fig-generated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/07-terminal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15: Генерация чистого кода, Quarto-документов и ноутбуков</w:t>
            </w:r>
          </w:p>
          <w:bookmarkEnd w:id="83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Оба ноутбука выполнены с ядром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julia-lab01-1.11</w:t>
      </w:r>
      <w:r>
        <w:rPr>
          <w:rFonts w:ascii="Times New Roman" w:hAnsi="Times New Roman" w:eastAsia="Times New Roman"/>
        </w:rPr>
        <w:t xml:space="preserve">; результаты сохранены в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самих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.ipynb</w:t>
      </w:r>
      <w:r>
        <w:rPr>
          <w:rFonts w:ascii="Times New Roman" w:hAnsi="Times New Roman" w:eastAsia="Times New Roman"/>
        </w:rPr>
        <w:t xml:space="preserve">. В первом ноутбуке заполнено 7 ячеек выполнения, во втором — 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87" w:name="fig-notebook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image/11-termina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16: Проверка выполненных Jupyter-ноутбуков</w:t>
            </w:r>
          </w:p>
          <w:bookmarkEnd w:id="87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91" w:name="fig-nb1-terminal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image/12-terminal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17: Содержимое ноутбука одиночного эксперимента</w:t>
            </w:r>
          </w:p>
          <w:bookmarkEnd w:id="91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95" w:name="fig-nb2-terminal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../image/13-terminal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18: Содержимое ноутбука параметрического эксперимента</w:t>
            </w:r>
          </w:p>
          <w:bookmarkEnd w:id="95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99" w:name="fig-jupyter-start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19: Запуск JupyterLab и доступность обоих ноутбуков</w:t>
            </w:r>
          </w:p>
          <w:bookmarkEnd w:id="99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03" w:name="fig-jupyter-open1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20: Открытый ноутбук первого эксперимента</w:t>
            </w:r>
          </w:p>
          <w:bookmarkEnd w:id="103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07" w:name="fig-jupyter-run1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/03-jupyter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21: Выполнение ячеек первого ноутбука</w:t>
            </w:r>
          </w:p>
          <w:bookmarkEnd w:id="107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11" w:name="fig-jupyter-done1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../image/04-jupyter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22: Завершённый первый ноутбук с графиком</w:t>
            </w:r>
          </w:p>
          <w:bookmarkEnd w:id="111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15" w:name="fig-jupyter-open2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image/05-jupyter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23: Открытый ноутбук параметрического исследования</w:t>
            </w:r>
          </w:p>
          <w:bookmarkEnd w:id="115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19" w:name="fig-jupyter-run2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../image/06-jupyter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24: Выполнение параметрического ноутбука</w:t>
            </w:r>
          </w:p>
          <w:bookmarkEnd w:id="119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23" w:name="fig-jupyter-done2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image/07-jupyter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25: Результаты параметрического ноутбука в интерфейсе JupyterLab</w:t>
            </w:r>
          </w:p>
          <w:bookmarkEnd w:id="123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Quarto-документы собраны в автономные HTML-файлы с внедрёнными ресурсами. Они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дают читаемое представление вычислений без запуска среды разработки.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27" w:name="fig-quarto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../image/14-terminal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26: Собранные Quarto-документы обоих экспериментов</w:t>
            </w:r>
          </w:p>
          <w:bookmarkEnd w:id="127"/>
        </w:tc>
      </w:tr>
    </w:tbl>
    <w:bookmarkEnd w:id="128"/>
    <w:bookmarkStart w:id="145" w:name="проверка-и-управление-версиями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6. Проверка и управление версиями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Автоматические тесты проверяют правую часть ОДУ, аналитическое решение, время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удвоения и точность численного интегрирования. Полный набор тестов завершился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без ошибок.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32" w:name="fig-tests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../image/15-terminal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27: Успешное выполнение тестов лабораторной работы</w:t>
            </w:r>
          </w:p>
          <w:bookmarkEnd w:id="132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История изменений разделена на этапы: подготовка репозитория, реализация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модели, добавление воспроизводимых результатов и оформление релиза. Локально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установлен автор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dakuokkonen</w:t>
      </w:r>
      <w:r>
        <w:rPr>
          <w:rFonts w:ascii="Times New Roman" w:hAnsi="Times New Roman" w:eastAsia="Times New Roman"/>
        </w:rPr>
        <w:t xml:space="preserve">; глобальные настройки Git других проектов не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изменялись.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36" w:name="fig-history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../image/16-terminal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28: Логически разделённая история коммитов</w:t>
            </w:r>
          </w:p>
          <w:bookmarkEnd w:id="136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Одинаковая ветка отправлена в два независимых удалённых репозитория: GitHub 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GitVerse. Для каждого сервиса используется отдельный SSH-псевдоним, поэтому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учётные данные не смешиваются с другими проектами.</w:t>
      </w:r>
    </w:p>
    <w:p>
      <w:pPr>
        <w:pageBreakBefore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40" w:name="fig-push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../image/17-terminal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29: Отправка ветки и тега в GitHub и GitVerse</w:t>
            </w:r>
          </w:p>
          <w:bookmarkEnd w:id="140"/>
        </w:tc>
      </w:tr>
    </w:tbl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vAlign w:val="center"/>
          </w:tcPr>
          <w:bookmarkStart w:id="144" w:name="fig-finish"/>
          <w:p>
            <w:pPr>
              <w:pStyle w:val="Compact"/>
              <w:spacing w:before="40" w:after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drawing>
                <wp:inline>
                  <wp:extent cx="4907280" cy="2760345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../image/18-terminal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2760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 w:line="240" w:lineRule="auto"/>
              <w:ind w:firstLine="0"/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Рисунок 30: Итоговая проверка состояния проекта</w:t>
            </w:r>
          </w:p>
          <w:bookmarkEnd w:id="144"/>
        </w:tc>
      </w:tr>
    </w:tbl>
    <w:bookmarkEnd w:id="145"/>
    <w:bookmarkStart w:id="146" w:name="воспроизводимость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7. Воспроизводимость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Минимальная последовательность команд для повторения работы:</w:t>
      </w:r>
    </w:p>
    <w:p>
      <w:pPr>
        <w:pStyle w:val="SourceCode"/>
        <w:widowControl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lab01 make setup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lab01 make all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Связь между отдельными этапами зафиксирована в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Makefile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(листинг 5). Цель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all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последовательно генерирует форматы, выполняет расчёты и ноутбуки, собирает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документацию и запускает тесты.</w:t>
      </w:r>
    </w:p>
    <w:p>
      <w:pPr>
        <w:pStyle w:val="SourceCode"/>
        <w:widowControl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--to html</w:t>
      </w:r>
      <w:r>
        <w:br/>
      </w:r>
      <w:r>
        <w:rPr>
          <w:rStyle w:val="NormalTok"/>
        </w:rPr>
        <w:t xml:space="preserve">    quarto render markdown/02_exponential_growth/02_exponential_growth.qmd --to html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</w:p>
    <w:p>
      <w:pPr>
        <w:pStyle w:val="FirstParagraph"/>
        <w:widowControl/>
        <w:spacing w:line="240" w:lineRule="auto" w:before="40" w:after="200"/>
        <w:ind w:firstLine="0"/>
        <w:jc w:val="center"/>
      </w:pPr>
      <w:r>
        <w:rPr>
          <w:rFonts w:ascii="Times New Roman" w:hAnsi="Times New Roman" w:eastAsia="Times New Roman"/>
          <w:i/>
          <w:color w:val="172530"/>
          <w:sz w:val="20"/>
        </w:rPr>
        <w:t xml:space="preserve">Листинг 5 — Основные цели</w:t>
      </w:r>
      <w:r>
        <w:rPr>
          <w:rFonts w:ascii="Times New Roman" w:hAnsi="Times New Roman" w:eastAsia="Times New Roman"/>
          <w:i/>
          <w:color w:val="172530"/>
          <w:sz w:val="20"/>
        </w:rPr>
        <w:t xml:space="preserve"> </w:t>
      </w:r>
      <w:r>
        <w:rPr>
          <w:rStyle w:val="VerbatimChar"/>
          <w:rFonts w:ascii="Times New Roman" w:hAnsi="Times New Roman" w:eastAsia="Times New Roman"/>
          <w:i/>
          <w:color w:val="172530"/>
          <w:sz w:val="20"/>
        </w:rPr>
        <w:t xml:space="preserve">labs/lab01/project/Makefile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Отдельные этапы доступны как цели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 tangle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 run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 notebooks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 docs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 test</w:t>
      </w:r>
      <w:r>
        <w:rPr>
          <w:rFonts w:ascii="Times New Roman" w:hAnsi="Times New Roman" w:eastAsia="Times New Roman"/>
        </w:rPr>
        <w:t xml:space="preserve">. Отчёт собирается командой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 каталоге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labs/lab01/report</w:t>
      </w:r>
      <w:r>
        <w:rPr>
          <w:rFonts w:ascii="Times New Roman" w:hAnsi="Times New Roman" w:eastAsia="Times New Roman"/>
        </w:rPr>
        <w:t xml:space="preserve">, презентация — командой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make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в каталоге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labs/lab01/presentation</w:t>
      </w:r>
      <w:r>
        <w:rPr>
          <w:rFonts w:ascii="Times New Roman" w:hAnsi="Times New Roman" w:eastAsia="Times New Roman"/>
        </w:rPr>
        <w:t xml:space="preserve">.</w:t>
      </w:r>
    </w:p>
    <w:bookmarkEnd w:id="146"/>
    <w:bookmarkStart w:id="147" w:name="выводы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8. Выводы</w:t>
      </w:r>
    </w:p>
    <w:p>
      <w:pPr>
        <w:pStyle w:val="FirstParagraph"/>
        <w:widowControl/>
      </w:pPr>
      <w:r>
        <w:rPr>
          <w:rFonts w:ascii="Times New Roman" w:hAnsi="Times New Roman" w:eastAsia="Times New Roman"/>
        </w:rPr>
        <w:t xml:space="preserve">Создано изолированное и воспроизводимое пространство на Julia. Модель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экспоненциального роста реализована в виде общей функции, литературных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сценариев и двух типов эксперимента. Численное решение совпало с аналитическим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с относительной ошибкой порядка</w:t>
      </w:r>
      <w:r>
        <w:rPr>
          <w:rFonts w:ascii="Times New Roman" w:hAnsi="Times New Roman" w:eastAsia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/>
        </w:rPr>
        <w:t xml:space="preserve">. Параметрическое исследование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подтвердило экспоненциальную чувствительность итогового значения к</w:t>
      </w:r>
      <w:r>
        <w:rPr>
          <w:rFonts w:ascii="Times New Roman" w:hAnsi="Times New Roman" w:eastAsia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обратную зависимость времени удвоения от этого параметра.</w:t>
      </w:r>
    </w:p>
    <w:p>
      <w:pPr>
        <w:pStyle w:val="BodyText"/>
        <w:widowControl/>
      </w:pPr>
      <w:r>
        <w:rPr>
          <w:rFonts w:ascii="Times New Roman" w:hAnsi="Times New Roman" w:eastAsia="Times New Roman"/>
        </w:rPr>
        <w:t xml:space="preserve">Полный конвейер — от исходного кода до данных, графиков, выполненных ноутбуков,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Quarto-документов, тестов, отчёта, презентации и релиза — управляется командами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и сохраняет результаты в предсказуемой структуре каталогов.</w:t>
      </w:r>
    </w:p>
    <w:bookmarkEnd w:id="147"/>
    <w:bookmarkStart w:id="150" w:name="источники"/>
    <w:p>
      <w:pPr>
        <w:pStyle w:val="Heading1"/>
        <w:widowControl/>
      </w:pPr>
      <w:r>
        <w:rPr>
          <w:rFonts w:ascii="Times New Roman" w:hAnsi="Times New Roman" w:eastAsia="Times New Roman"/>
        </w:rPr>
        <w:t xml:space="preserve">Источники</w:t>
      </w:r>
    </w:p>
    <w:p>
      <w:pPr>
        <w:pStyle w:val="Compact"/>
        <w:widowControl/>
        <w:numPr>
          <w:ilvl w:val="0"/>
          <w:numId w:val="1004"/>
        </w:numPr>
      </w:pPr>
      <w:r>
        <w:rPr>
          <w:rFonts w:ascii="Times New Roman" w:hAnsi="Times New Roman" w:eastAsia="Times New Roman"/>
          <w:i/>
          <w:iCs/>
        </w:rPr>
        <w:t xml:space="preserve">Имитационное моделирование: методические указания к лабораторным работам</w:t>
      </w:r>
      <w:r>
        <w:rPr>
          <w:rFonts w:ascii="Times New Roman" w:hAnsi="Times New Roman" w:eastAsia="Times New Roman"/>
        </w:rPr>
        <w:t xml:space="preserve">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Раздел 1.10 «Модель экспоненциального роста», с. 70–86.</w:t>
      </w:r>
    </w:p>
    <w:p>
      <w:pPr>
        <w:pStyle w:val="Compact"/>
        <w:widowControl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Rackauckas C., Nie Q. DifferentialEquations.jl — A Performant and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Feature-Rich Ecosystem for Solving Differential Equations in Julia.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  <w:i/>
          <w:iCs/>
        </w:rPr>
        <w:t xml:space="preserve">Journal</w:t>
      </w:r>
      <w:r>
        <w:rPr>
          <w:rFonts w:ascii="Times New Roman" w:hAnsi="Times New Roman" w:eastAsia="Times New Roman"/>
          <w:i/>
          <w:iCs/>
        </w:rPr>
        <w:t xml:space="preserve"> </w:t>
      </w:r>
      <w:r>
        <w:rPr>
          <w:rFonts w:ascii="Times New Roman" w:hAnsi="Times New Roman" w:eastAsia="Times New Roman"/>
          <w:i/>
          <w:iCs/>
        </w:rPr>
        <w:t xml:space="preserve">of Open Research Software</w:t>
      </w:r>
      <w:r>
        <w:rPr>
          <w:rFonts w:ascii="Times New Roman" w:hAnsi="Times New Roman" w:eastAsia="Times New Roman"/>
        </w:rPr>
        <w:t xml:space="preserve">. 2017. Vol. 5. No. 1.</w:t>
      </w:r>
    </w:p>
    <w:p>
      <w:pPr>
        <w:pStyle w:val="Compact"/>
        <w:widowControl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JuliaLang.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  <w:i/>
          <w:iCs/>
        </w:rPr>
        <w:t xml:space="preserve">The Julia Language Documentation</w:t>
      </w:r>
      <w:r>
        <w:rPr>
          <w:rFonts w:ascii="Times New Roman" w:hAnsi="Times New Roman" w:eastAsia="Times New Roman"/>
        </w:rPr>
        <w:t xml:space="preserve">.</w:t>
      </w:r>
      <w:r>
        <w:rPr>
          <w:rFonts w:ascii="Times New Roman" w:hAnsi="Times New Roman" w:eastAsia="Times New Roman"/>
        </w:rPr>
        <w:t xml:space="preserve"> </w:t>
      </w:r>
      <w:hyperlink r:id="rId148">
        <w:r>
          <w:rPr>
            <w:rStyle w:val="Hyperlink"/>
          </w:rPr>
          <w:t xml:space="preserve">https://docs.julialang.org/</w:t>
        </w:r>
      </w:hyperlink>
      <w:r>
        <w:rPr>
          <w:rFonts w:ascii="Times New Roman" w:hAnsi="Times New Roman" w:eastAsia="Times New Roman"/>
        </w:rPr>
        <w:t xml:space="preserve">.</w:t>
      </w:r>
    </w:p>
    <w:p>
      <w:pPr>
        <w:pStyle w:val="Compact"/>
        <w:widowControl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Datseris G. et al. DrWatson: the perfect sidekick for your scientific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inquiries.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  <w:i/>
          <w:iCs/>
        </w:rPr>
        <w:t xml:space="preserve">Journal of Open Source Software</w:t>
      </w:r>
      <w:r>
        <w:rPr>
          <w:rFonts w:ascii="Times New Roman" w:hAnsi="Times New Roman" w:eastAsia="Times New Roman"/>
        </w:rPr>
        <w:t xml:space="preserve">. 2020. Vol. 5. No. 54.</w:t>
      </w:r>
    </w:p>
    <w:p>
      <w:pPr>
        <w:pStyle w:val="Compact"/>
        <w:widowControl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Quarto.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  <w:i/>
          <w:iCs/>
        </w:rPr>
        <w:t xml:space="preserve">Scientific and technical publishing system</w:t>
      </w:r>
      <w:r>
        <w:rPr>
          <w:rFonts w:ascii="Times New Roman" w:hAnsi="Times New Roman" w:eastAsia="Times New Roman"/>
        </w:rPr>
        <w:t xml:space="preserve">.</w:t>
      </w:r>
      <w:r>
        <w:rPr>
          <w:rFonts w:ascii="Times New Roman" w:hAnsi="Times New Roman" w:eastAsia="Times New Roman"/>
        </w:rPr>
        <w:t xml:space="preserve"> </w:t>
      </w:r>
      <w:hyperlink r:id="rId149">
        <w:r>
          <w:rPr>
            <w:rStyle w:val="Hyperlink"/>
          </w:rPr>
          <w:t xml:space="preserve">https://quarto.org/docs/</w:t>
        </w:r>
      </w:hyperlink>
      <w:r>
        <w:rPr>
          <w:rFonts w:ascii="Times New Roman" w:hAnsi="Times New Roman" w:eastAsia="Times New Roman"/>
        </w:rPr>
        <w:t xml:space="preserve">.</w:t>
      </w:r>
    </w:p>
    <w:bookmarkEnd w:id="150"/>
    <w:sectPr>
      <w:footerReference w:type="default" r:id="rId9"/>
      <w:footerReference w:type="first" r:id="rId11"/>
      <w:footnotePr>
        <w:numRestart w:val="eachSect"/>
      </w:footnotePr>
      <w:pgSz w:w="11906" w:h="16838"/>
      <w:pgMar w:left="1701" w:right="850" w:top="1134" w:bottom="1134" w:header="567" w:footer="68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172530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  <w:ind w:firstLine="709"/>
      <w:jc w:val="both"/>
    </w:pPr>
    <w:rPr>
      <w:rFonts w:ascii="Times New Roman" w:hAnsi="Times New Roman"/>
      <w:color w:val="172530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360" w:lineRule="auto"/>
      <w:jc w:val="both"/>
    </w:pPr>
    <w:rPr>
      <w:rFonts w:ascii="Times New Roman" w:hAnsi="Times New Roman"/>
      <w:color w:val="17253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/>
      <w:jc w:val="both"/>
    </w:pPr>
    <w:rPr>
      <w:rFonts w:ascii="Times New Roman" w:hAnsi="Times New Roman"/>
      <w:color w:val="172530"/>
      <w:sz w:val="24"/>
    </w:rPr>
  </w:style>
  <w:style w:customStyle="1" w:styleId="Compact" w:type="paragraph">
    <w:name w:val="Compact"/>
    <w:basedOn w:val="BodyText"/>
    <w:qFormat/>
    <w:pPr>
      <w:spacing w:after="120" w:before="36" w:line="360" w:lineRule="auto"/>
      <w:jc w:val="both"/>
    </w:pPr>
    <w:rPr>
      <w:rFonts w:ascii="Times New Roman" w:hAnsi="Times New Roman"/>
      <w:color w:val="17253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360" w:lineRule="auto"/>
      <w:jc w:val="both"/>
    </w:pPr>
    <w:rPr>
      <w:rFonts w:ascii="Times New Roman" w:hAnsi="Times New Roman"/>
      <w:color w:val="17253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125B74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Theme="majorHAnsi" w:cstheme="majorBidi" w:eastAsiaTheme="majorEastAsia" w:hAnsiTheme="majorHAnsi" w:ascii="Times New Roman" w:hAnsi="Times New Roman"/>
      <w:b/>
      <w:color w:val="125B74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Times New Roman" w:hAnsi="Times New Roman"/>
      <w:b/>
      <w:color w:val="125B7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80"/>
      <w:jc w:val="center"/>
    </w:pPr>
    <w:rPr>
      <w:rFonts w:ascii="Times New Roman" w:hAnsi="Times New Roman"/>
      <w:i/>
      <w:color w:val="172530"/>
      <w:sz w:val="20"/>
    </w:rPr>
  </w:style>
  <w:style w:customStyle="1" w:styleId="ImageCaption" w:type="paragraph">
    <w:name w:val="Image Caption"/>
    <w:basedOn w:val="Caption"/>
    <w:pPr>
      <w:spacing w:after="180"/>
      <w:jc w:val="center"/>
    </w:pPr>
    <w:rPr>
      <w:rFonts w:ascii="Times New Roman" w:hAnsi="Times New Roman"/>
      <w:i/>
      <w:color w:val="17253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keepNext/>
      <w:shd w:val="clear" w:fill="f1f3f5"/>
      <w:spacing w:line="240" w:lineRule="auto" w:after="160"/>
      <w:ind w:firstLine="0"/>
      <w:jc w:val="left"/>
    </w:pPr>
    <w:rPr>
      <w:rFonts w:ascii="DejaVu Sans Mono" w:hAnsi="DejaVu Sans Mono"/>
      <w:sz w:val="18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48" Type="http://schemas.openxmlformats.org/officeDocument/2006/relationships/image" Target="media/rId48.png"/><Relationship Id="rId21" Type="http://schemas.openxmlformats.org/officeDocument/2006/relationships/image" Target="media/rId21.png"/><Relationship Id="rId100" Type="http://schemas.openxmlformats.org/officeDocument/2006/relationships/image" Target="media/rId100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04" Type="http://schemas.openxmlformats.org/officeDocument/2006/relationships/image" Target="media/rId104.png"/><Relationship Id="rId62" Type="http://schemas.openxmlformats.org/officeDocument/2006/relationships/image" Target="media/rId62.png"/><Relationship Id="rId10" Type="http://schemas.openxmlformats.org/officeDocument/2006/relationships/image" Target="media/rId10.png"/><Relationship Id="rId108" Type="http://schemas.openxmlformats.org/officeDocument/2006/relationships/image" Target="media/rId108.png"/><Relationship Id="rId66" Type="http://schemas.openxmlformats.org/officeDocument/2006/relationships/image" Target="media/rId66.png"/><Relationship Id="rId29" Type="http://schemas.openxmlformats.org/officeDocument/2006/relationships/image" Target="media/rId29.png"/><Relationship Id="rId112" Type="http://schemas.openxmlformats.org/officeDocument/2006/relationships/image" Target="media/rId112.png"/><Relationship Id="rId70" Type="http://schemas.openxmlformats.org/officeDocument/2006/relationships/image" Target="media/rId70.png"/><Relationship Id="rId40" Type="http://schemas.openxmlformats.org/officeDocument/2006/relationships/image" Target="media/rId40.png"/><Relationship Id="rId116" Type="http://schemas.openxmlformats.org/officeDocument/2006/relationships/image" Target="media/rId116.png"/><Relationship Id="rId44" Type="http://schemas.openxmlformats.org/officeDocument/2006/relationships/image" Target="media/rId44.png"/><Relationship Id="rId120" Type="http://schemas.openxmlformats.org/officeDocument/2006/relationships/image" Target="media/rId120.png"/><Relationship Id="rId80" Type="http://schemas.openxmlformats.org/officeDocument/2006/relationships/image" Target="media/rId80.png"/><Relationship Id="rId34" Type="http://schemas.openxmlformats.org/officeDocument/2006/relationships/image" Target="media/rId34.png"/><Relationship Id="rId54" Type="http://schemas.openxmlformats.org/officeDocument/2006/relationships/image" Target="media/rId54.png"/><Relationship Id="rId74" Type="http://schemas.openxmlformats.org/officeDocument/2006/relationships/image" Target="media/rId74.png"/><Relationship Id="rId84" Type="http://schemas.openxmlformats.org/officeDocument/2006/relationships/image" Target="media/rId84.png"/><Relationship Id="rId88" Type="http://schemas.openxmlformats.org/officeDocument/2006/relationships/image" Target="media/rId88.png"/><Relationship Id="rId92" Type="http://schemas.openxmlformats.org/officeDocument/2006/relationships/image" Target="media/rId92.png"/><Relationship Id="rId124" Type="http://schemas.openxmlformats.org/officeDocument/2006/relationships/image" Target="media/rId124.png"/><Relationship Id="rId129" Type="http://schemas.openxmlformats.org/officeDocument/2006/relationships/image" Target="media/rId129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148" Type="http://schemas.openxmlformats.org/officeDocument/2006/relationships/hyperlink" Target="https://docs.julialang.org/" TargetMode="External"/><Relationship Id="rId149" Type="http://schemas.openxmlformats.org/officeDocument/2006/relationships/hyperlink" Target="https://quarto.org/docs/" TargetMode="External"/><Relationship Id="rId9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https://docs.julialang.org/" TargetMode="External"/><Relationship Id="rId149" Type="http://schemas.openxmlformats.org/officeDocument/2006/relationships/hyperlink" Target="https://quarto.org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— Экспоненциальный рост</dc:title>
  <dc:creator>Куокконен Дарина Андреевна</dc:creator>
  <dc:language>ru-RU</dc:language>
  <cp:keywords>Julia; DifferentialEquations; DrWatson; Jupyter; Quarto</cp:keywords>
  <dcterms:created xsi:type="dcterms:W3CDTF">2026-08-29T13:40:31Z</dcterms:created>
  <dcterms:modified xsi:type="dcterms:W3CDTF">2026-08-29T13:40:31Z</dcterms:modified>
  <dc:subject>Имитационное моделирование, группа НФИбд-01-23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работе построена и проверена модель экспоненциального роста du/dt=\alpha u. Реализованы одиночный и параметрический эксперименты, выполнено сравнение численного решения с аналитическим, измерено время вычислений и сформирован воспроизводимый конвейер: литературный исходный код, чистые Julia-скрипты, Jupyter-ноутбуки, Quarto-документы, тесты, графики и версионирование в двух удалённых репозиториях.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2026-08-29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Экспоненциальный рост: воспроизводимое численное исследование</vt:lpwstr>
  </property>
  <property fmtid="{D5CDD505-2E9C-101B-9397-08002B2CF9AE}" pid="15" name="toc-title">
    <vt:lpwstr>Содержание</vt:lpwstr>
  </property>
</Properties>
</file>