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129.png" ContentType="image/png"/>
  <Override PartName="/word/media/rId23.png" ContentType="image/png"/>
  <Override PartName="/word/media/rId31.png" ContentType="image/png"/>
  <Override PartName="/word/media/rId133.png" ContentType="image/png"/>
  <Override PartName="/word/media/rId43.png" ContentType="image/png"/>
  <Override PartName="/word/media/rId139.png" ContentType="image/png"/>
  <Override PartName="/word/media/rId47.png" ContentType="image/png"/>
  <Override PartName="/word/media/rId52.png" ContentType="image/png"/>
  <Override PartName="/word/media/rId61.png" ContentType="image/png"/>
  <Override PartName="/word/media/rId65.png" ContentType="image/png"/>
  <Override PartName="/word/media/rId74.png" ContentType="image/png"/>
  <Override PartName="/word/media/rId84.png" ContentType="image/png"/>
  <Override PartName="/word/media/rId88.png" ContentType="image/png"/>
  <Override PartName="/word/media/rId98.png" ContentType="image/png"/>
  <Override PartName="/word/media/rId107.png" ContentType="image/png"/>
  <Override PartName="/word/media/rId1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>
      <w:pPr>
        <w:widowControl/>
        <w:spacing w:after="80"/>
        <w:jc w:val="center"/>
      </w:pPr>
      <w:r>
        <w:rPr>
          <w:rFonts w:ascii="Times New Roman" w:hAnsi="Times New Roman" w:eastAsia="Times New Roman"/>
          <w:b/>
          <w:color w:val="172530"/>
          <w:sz w:val="26"/>
        </w:rPr>
        <w:t>Российский университет дружбы народов имени Патриса Лумумбы</w:t>
      </w:r>
    </w:p>
    <w:p xmlns:w="http://schemas.openxmlformats.org/wordprocessingml/2006/main">
      <w:pPr>
        <w:widowControl/>
        <w:spacing w:after="1040"/>
        <w:jc w:val="center"/>
      </w:pPr>
      <w:r>
        <w:rPr>
          <w:rFonts w:ascii="Times New Roman" w:hAnsi="Times New Roman" w:eastAsia="Times New Roman"/>
          <w:color w:val="172530"/>
          <w:sz w:val="24"/>
        </w:rPr>
        <w:t>Дисциплина «Имитационное моделирование»</w:t>
      </w:r>
    </w:p>
    <w:p xmlns:w="http://schemas.openxmlformats.org/wordprocessingml/2006/main">
      <w:pPr>
        <w:pStyle w:val="Title"/>
        <w:widowControl/>
        <w:spacing w:before="480" w:after="200"/>
        <w:jc w:val="center"/>
      </w:pPr>
      <w:r>
        <w:rPr>
          <w:rFonts w:ascii="Times New Roman" w:hAnsi="Times New Roman" w:eastAsia="Times New Roman"/>
          <w:b/>
          <w:color w:val="125B74"/>
          <w:sz w:val="40"/>
        </w:rPr>
        <w:t xml:space="preserve">Лабораторная работа № 6</w:t>
      </w:r>
    </w:p>
    <w:p xmlns:w="http://schemas.openxmlformats.org/wordprocessingml/2006/main">
      <w:pPr>
        <w:pStyle w:val="Subtitle"/>
        <w:widowControl/>
        <w:spacing w:after="1920"/>
        <w:jc w:val="center"/>
      </w:pPr>
      <w:r>
        <w:rPr>
          <w:rFonts w:ascii="Times New Roman" w:hAnsi="Times New Roman" w:eastAsia="Times New Roman"/>
          <w:i/>
          <w:color w:val="172530"/>
          <w:sz w:val="30"/>
        </w:rPr>
        <w:t xml:space="preserve">Реализация SIR в подходе сетей Петри</w:t>
      </w:r>
    </w:p>
    <w:p xmlns:w="http://schemas.openxmlformats.org/wordprocessingml/2006/main">
      <w:pPr>
        <w:pStyle w:val="Author"/>
        <w:widowControl/>
        <w:spacing w:after="80"/>
        <w:jc w:val="right"/>
      </w:pPr>
      <w:r>
        <w:rPr>
          <w:rFonts w:ascii="Times New Roman" w:hAnsi="Times New Roman" w:eastAsia="Times New Roman"/>
          <w:color w:val="172530"/>
          <w:sz w:val="24"/>
        </w:rPr>
        <w:t>Выполнила: Куокконен Дарина Андреевна</w:t>
      </w:r>
    </w:p>
    <w:p xmlns:w="http://schemas.openxmlformats.org/wordprocessingml/2006/main">
      <w:pPr>
        <w:widowControl/>
        <w:spacing w:after="1400"/>
        <w:jc w:val="right"/>
      </w:pPr>
      <w:r>
        <w:rPr>
          <w:rFonts w:ascii="Times New Roman" w:hAnsi="Times New Roman" w:eastAsia="Times New Roman"/>
          <w:color w:val="172530"/>
          <w:sz w:val="24"/>
        </w:rPr>
        <w:t>Группа: НФИбд-01-23</w:t>
      </w:r>
    </w:p>
    <w:p xmlns:w="http://schemas.openxmlformats.org/wordprocessingml/2006/main">
      <w:pPr>
        <w:pStyle w:val="Date"/>
        <w:widowControl/>
        <w:spacing w:after="0"/>
        <w:jc w:val="center"/>
      </w:pPr>
      <w:r>
        <w:rPr>
          <w:rFonts w:ascii="Times New Roman" w:hAnsi="Times New Roman" w:eastAsia="Times New Roman"/>
          <w:color w:val="172530"/>
          <w:sz w:val="24"/>
        </w:rPr>
        <w:t>Москва, 2026</w:t>
      </w:r>
      <w:r>
        <w:rPr>
          <w:rFonts w:ascii="Times New Roman" w:hAnsi="Times New Roman" w:eastAsia="Times New Roman"/>
        </w:rPr>
        <w:br w:type="page"/>
      </w:r>
    </w:p>
    <w:bookmarkStart w:id="20" w:name="содержание"/>
    <w:p>
      <w:pPr>
        <w:pStyle w:val="Heading1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r>
        <w:t xml:space="preserve">Цель и постановка задачи.</w:t>
      </w:r>
    </w:p>
    <w:p>
      <w:pPr>
        <w:pStyle w:val="Compact"/>
        <w:numPr>
          <w:ilvl w:val="0"/>
          <w:numId w:val="1001"/>
        </w:numPr>
      </w:pPr>
      <w:r>
        <w:t xml:space="preserve">Модель SIR и сеть Петри.</w:t>
      </w:r>
    </w:p>
    <w:p>
      <w:pPr>
        <w:pStyle w:val="Compact"/>
        <w:numPr>
          <w:ilvl w:val="0"/>
          <w:numId w:val="1001"/>
        </w:numPr>
      </w:pPr>
      <w:r>
        <w:t xml:space="preserve">Вычислительная среда и общий модуль.</w:t>
      </w:r>
    </w:p>
    <w:p>
      <w:pPr>
        <w:pStyle w:val="Compact"/>
        <w:numPr>
          <w:ilvl w:val="0"/>
          <w:numId w:val="1001"/>
        </w:numPr>
      </w:pPr>
      <w:r>
        <w:t xml:space="preserve">Базовые сценарии: ОДУ, SSA, сканирование, анимация, анализ CSV.</w:t>
      </w:r>
    </w:p>
    <w:p>
      <w:pPr>
        <w:pStyle w:val="Compact"/>
        <w:numPr>
          <w:ilvl w:val="0"/>
          <w:numId w:val="1001"/>
        </w:numPr>
      </w:pPr>
      <w:r>
        <w:t xml:space="preserve">Параметрические варианты четырёх сценариев.</w:t>
      </w:r>
    </w:p>
    <w:p>
      <w:pPr>
        <w:pStyle w:val="Compact"/>
        <w:numPr>
          <w:ilvl w:val="0"/>
          <w:numId w:val="1001"/>
        </w:numPr>
      </w:pPr>
      <w:r>
        <w:t xml:space="preserve">Литературное программирование и выполненные блокноты.</w:t>
      </w:r>
    </w:p>
    <w:p>
      <w:pPr>
        <w:pStyle w:val="Compact"/>
        <w:numPr>
          <w:ilvl w:val="0"/>
          <w:numId w:val="1001"/>
        </w:numPr>
      </w:pPr>
      <w:r>
        <w:t xml:space="preserve">Проверки, ограничения и выводы.</w:t>
      </w:r>
    </w:p>
    <w:p>
      <w:pPr>
        <w:pStyle w:val="FirstParagraph"/>
      </w:pPr>
      <w:r>
        <w:rPr>
          <w:b/>
          <w:bCs/>
        </w:rPr>
        <w:t xml:space="preserve">Аннотация.</w:t>
      </w:r>
      <w:r>
        <w:t xml:space="preserve"> </w:t>
      </w:r>
      <w:r>
        <w:t xml:space="preserve">Построена сеть Петри SIR и сопоставлены её непрерывная и</w:t>
      </w:r>
      <w:r>
        <w:t xml:space="preserve"> </w:t>
      </w:r>
      <w:r>
        <w:t xml:space="preserve">событийная интерпретации. Выполнены четыре основных сценария главы 6</w:t>
      </w:r>
      <w:r>
        <w:t xml:space="preserve"> </w:t>
      </w:r>
      <w:r>
        <w:t xml:space="preserve">практикума и четыре параметрических варианта. Сохранены закон массового</w:t>
      </w:r>
      <w:r>
        <w:t xml:space="preserve"> </w:t>
      </w:r>
      <w:r>
        <w:t xml:space="preserve">действия βSI, исходные параметры и временные сетки задания. Отдельно</w:t>
      </w:r>
      <w:r>
        <w:t xml:space="preserve"> </w:t>
      </w:r>
      <w:r>
        <w:t xml:space="preserve">исследовано влияние шага сохранения на оценку пика заражений. Числа в отчёте</w:t>
      </w:r>
      <w:r>
        <w:t xml:space="preserve"> </w:t>
      </w:r>
      <w:r>
        <w:t xml:space="preserve">получены из сохранённых результатов Julia.</w:t>
      </w:r>
    </w:p>
    <w:p>
      <w:r>
        <w:br w:type="page"/>
      </w:r>
    </w:p>
    <w:bookmarkEnd w:id="20"/>
    <w:bookmarkStart w:id="22" w:name="цель-и-постановка-задачи"/>
    <w:p>
      <w:pPr>
        <w:pStyle w:val="Heading1"/>
      </w:pPr>
      <w:r>
        <w:t xml:space="preserve">1. Цель и постановка задачи</w:t>
      </w:r>
    </w:p>
    <w:p>
      <w:pPr>
        <w:pStyle w:val="FirstParagraph"/>
      </w:pPr>
      <w:r>
        <w:t xml:space="preserve">Цель — освоить представление динамической системы сетью Петри и два</w:t>
      </w:r>
      <w:r>
        <w:t xml:space="preserve"> </w:t>
      </w:r>
      <w:r>
        <w:t xml:space="preserve">способа её исполнения: систему обыкновенных дифференциальных уравнений</w:t>
      </w:r>
      <w:r>
        <w:t xml:space="preserve"> </w:t>
      </w:r>
      <w:r>
        <w:t xml:space="preserve">и стохастический процесс с дискретными событиями. Проверяется согласованность</w:t>
      </w:r>
      <w:r>
        <w:t xml:space="preserve"> </w:t>
      </w:r>
      <w:r>
        <w:t xml:space="preserve">структуры сети, численного решения, событийной траектории и анализа CSV.</w:t>
      </w:r>
    </w:p>
    <w:p>
      <w:pPr>
        <w:pStyle w:val="BodyText"/>
      </w:pPr>
      <w:r>
        <w:t xml:space="preserve">Выполняется глава 6 «Реализация основных моделей в подходе сетей Петри»</w:t>
      </w:r>
      <w:r>
        <w:t xml:space="preserve"> </w:t>
      </w:r>
      <w:r>
        <w:t xml:space="preserve">практикума А. В. Корольковой и Д. С. Кулябова, стр. 191–207. Основное задание</w:t>
      </w:r>
      <w:r>
        <w:t xml:space="preserve"> </w:t>
      </w:r>
      <w:r>
        <w:t xml:space="preserve">содержит общий модуль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и четыре самостоятельных сценария.</w:t>
      </w:r>
      <w:r>
        <w:t xml:space="preserve"> </w:t>
      </w:r>
      <w:r>
        <w:t xml:space="preserve">§6.2 требует литературные исходники, производные форматы, параметрические</w:t>
      </w:r>
      <w:r>
        <w:t xml:space="preserve"> </w:t>
      </w:r>
      <w:r>
        <w:t xml:space="preserve">варианты и интеграцию документации в отчёт.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tbl-scenari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Основные сценарии задания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Сценарий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Назначение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Результат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sirpetri_run.jl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ОДУ и SSA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Траектории S/I/R, CSV и сеть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sirpetri_scan_parameters.jl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 значений β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Пик I и R(100)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sirpetri_animate.jl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Изменение маркировок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GIF из 501 кадра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sirpetri_report.jl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Чтение сохранённых CSV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Сравнение I(t) и чувствительности</w:t>
                  </w:r>
                </w:p>
              </w:tc>
            </w:tr>
          </w:tbl>
          <w:bookmarkEnd w:id="21"/>
          <w:p/>
        </w:tc>
      </w:tr>
    </w:tbl>
    <w:p>
      <w:pPr>
        <w:pStyle w:val="BodyText"/>
      </w:pPr>
      <w:r>
        <w:t xml:space="preserve">Четыре файла с суффиксом</w:t>
      </w:r>
      <w:r>
        <w:t xml:space="preserve"> </w:t>
      </w:r>
      <w:r>
        <w:rPr>
          <w:rStyle w:val="VerbatimChar"/>
        </w:rPr>
        <w:t xml:space="preserve">__param</w:t>
      </w:r>
      <w:r>
        <w:t xml:space="preserve"> </w:t>
      </w:r>
      <w:r>
        <w:t xml:space="preserve">расширяют каждый из этих сценариев,</w:t>
      </w:r>
      <w:r>
        <w:t xml:space="preserve"> </w:t>
      </w:r>
      <w:r>
        <w:t xml:space="preserve">не заменяя базовые запуски. Общий модуль, тесты, настройка среды и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не считаются дополнительными экспериментами.</w:t>
      </w:r>
    </w:p>
    <w:bookmarkEnd w:id="22"/>
    <w:bookmarkStart w:id="30" w:name="модель-sir-и-сеть-петри"/>
    <w:p>
      <w:pPr>
        <w:pStyle w:val="Heading1"/>
      </w:pPr>
      <w:r>
        <w:t xml:space="preserve">2. Модель SIR и сеть Петри</w:t>
      </w:r>
    </w:p>
    <w:bookmarkStart w:id="27" w:name="состояния-и-переходы"/>
    <w:p>
      <w:pPr>
        <w:pStyle w:val="Heading2"/>
      </w:pPr>
      <w:r>
        <w:t xml:space="preserve">2.1 Состояния и переходы</w:t>
      </w:r>
    </w:p>
    <w:p>
      <w:pPr>
        <w:pStyle w:val="FirstParagraph"/>
      </w:pPr>
      <w:r>
        <w:t xml:space="preserve">S обозначает восприимчивых, I — заражённых, R — выздоровевших. Рождения,</w:t>
      </w:r>
      <w:r>
        <w:t xml:space="preserve"> </w:t>
      </w:r>
      <w:r>
        <w:t xml:space="preserve">миграция, смертность и повторное заражение не рассматриваются. Позициям</w:t>
      </w:r>
      <w:r>
        <w:t xml:space="preserve"> </w:t>
      </w:r>
      <w:r>
        <w:t xml:space="preserve">сети соответствуют состояния, а переходам — заражение и выздоровление: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+</m:t>
          </m:r>
          <m: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β</m:t>
              </m:r>
            </m:lim>
          </m:limUpp>
          <m:r>
            <m:t>2</m:t>
          </m:r>
          <m:r>
            <m:t>I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γ</m:t>
              </m:r>
            </m:lim>
          </m:limUpp>
          <m: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 первом переходе S уменьшается на единицу, I увеличивается на единицу;</w:t>
      </w:r>
      <w:r>
        <w:t xml:space="preserve"> </w:t>
      </w:r>
      <w:r>
        <w:t xml:space="preserve">второй переносит одну единицу из I в R. В SSA маркировки целочисленны,</w:t>
      </w:r>
      <w:r>
        <w:t xml:space="preserve"> </w:t>
      </w:r>
      <w:r>
        <w:t xml:space="preserve">в непрерывной интерпретации — действительные неотрицательные величины.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net"/>
          <w:p>
            <w:pPr>
              <w:pStyle w:val="Compact"/>
              <w:jc w:val="center"/>
            </w:pPr>
            <w:r>
              <w:drawing>
                <wp:inline>
                  <wp:extent cx="4448175" cy="84449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../image/01-plo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175" cy="8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Сеть SIR из объекта AlgebraicPetri, построенная Graphviz.</w:t>
            </w:r>
          </w:p>
          <w:bookmarkEnd w:id="26"/>
        </w:tc>
      </w:tr>
    </w:tbl>
    <w:p>
      <w:pPr>
        <w:pStyle w:val="BodyText"/>
      </w:pPr>
      <w:r>
        <w:t xml:space="preserve">Схема (</w:t>
      </w:r>
      <w:hyperlink w:anchor="fig-net">
        <w:r>
          <w:rPr>
            <w:rStyle w:val="Hyperlink"/>
          </w:rPr>
          <w:t xml:space="preserve">Рисунок 1</w:t>
        </w:r>
      </w:hyperlink>
      <w:r>
        <w:t xml:space="preserve">) показывает две выходные дуги к I, обеспечивающие суммарное приращение +1.</w:t>
      </w:r>
      <w:r>
        <w:t xml:space="preserve"> </w:t>
      </w:r>
      <w:r>
        <w:t xml:space="preserve">Матрица изменения маркировки вычисляется из дуг сети: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Суммы столбцов равны нулю: N=S+I+R сохраняется при каждом переходе.</w:t>
      </w:r>
      <w:r>
        <w:t xml:space="preserve"> </w:t>
      </w:r>
      <w:r>
        <w:t xml:space="preserve">Начальная маркировка (990,10,0) соответствует N=1000.</w:t>
      </w:r>
    </w:p>
    <w:bookmarkEnd w:id="27"/>
    <w:bookmarkStart w:id="28" w:name="непрерывная-и-событийная-интерпретации"/>
    <w:p>
      <w:pPr>
        <w:pStyle w:val="Heading2"/>
      </w:pPr>
      <w:r>
        <w:t xml:space="preserve">2.2 Непрерывная и событийная интерпретации</w:t>
      </w:r>
    </w:p>
    <w:p>
      <w:pPr>
        <w:pStyle w:val="FirstParagraph"/>
      </w:pPr>
      <w:r>
        <w:t xml:space="preserve">Интенсивности массового действия равны a₁=βSI и a₂=γI.</w:t>
      </w:r>
      <w:r>
        <w:t xml:space="preserve"> </w:t>
      </w:r>
      <w:r>
        <w:t xml:space="preserve">В работе</w:t>
      </w:r>
      <w:r>
        <w:t xml:space="preserve"> </w:t>
      </w:r>
      <w:r>
        <w:rPr>
          <w:b/>
          <w:bCs/>
        </w:rPr>
        <w:t xml:space="preserve">нет деления βSI на N</w:t>
      </w:r>
      <w:r>
        <w:t xml:space="preserve">. Система уравнений имеет вид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̇"/>
            </m:accPr>
            <m:e>
              <m:r>
                <m:t>S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I</m:t>
              </m:r>
            </m:e>
          </m:acc>
          <m:r>
            <m:rPr>
              <m:sty m:val="p"/>
            </m:rPr>
            <m:t>=</m:t>
          </m:r>
          <m:r>
            <m:t>β</m:t>
          </m:r>
          <m:r>
            <m:t>S</m:t>
          </m:r>
          <m:r>
            <m:t>I</m:t>
          </m:r>
          <m:r>
            <m:rPr>
              <m:sty m:val="p"/>
            </m:rPr>
            <m:t>−</m:t>
          </m:r>
          <m:r>
            <m:t>γ</m:t>
          </m:r>
          <m:r>
            <m:t>I</m:t>
          </m:r>
          <m:r>
            <m:rPr>
              <m:sty m:val="p"/>
            </m:rPr>
            <m:t>,</m:t>
          </m:r>
          <m:r>
            <m:t> </m:t>
          </m:r>
          <m:acc>
            <m:accPr>
              <m:chr m:val="̇"/>
            </m:accPr>
            <m:e>
              <m:r>
                <m:t>R</m:t>
              </m:r>
            </m:e>
          </m:acc>
          <m:r>
            <m:rPr>
              <m:sty m:val="p"/>
            </m:rPr>
            <m:t>=</m:t>
          </m:r>
          <m:r>
            <m:t>γ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Начальный рост I определяется βS₀&gt;γ. При γ=0,1 критическое значение</w:t>
      </w:r>
      <w:r>
        <w:t xml:space="preserve"> </w:t>
      </w:r>
      <w:r>
        <w:t xml:space="preserve">β равно 0,1/990≈0,00010101. Весь диапазон β=0,1…0,8 находится выше порога.</w:t>
      </w:r>
      <w:r>
        <w:t xml:space="preserve"> </w:t>
      </w:r>
      <w:r>
        <w:t xml:space="preserve">Утверждение примера на стр. 201 об отсутствии эпидемии при β=0,1</w:t>
      </w:r>
      <w:r>
        <w:t xml:space="preserve"> </w:t>
      </w:r>
      <w:r>
        <w:t xml:space="preserve">противоречит указанному закону. Замена на βSI/N дала бы другую модель</w:t>
      </w:r>
      <w:r>
        <w:t xml:space="preserve"> </w:t>
      </w:r>
      <w:r>
        <w:t xml:space="preserve">и поэтому не производилась.</w:t>
      </w:r>
    </w:p>
    <w:p>
      <w:pPr>
        <w:pStyle w:val="BodyText"/>
      </w:pPr>
      <w:r>
        <w:t xml:space="preserve">Прямой метод Гиллеспи генерирует время до события из экспоненциального</w:t>
      </w:r>
      <w:r>
        <w:t xml:space="preserve"> </w:t>
      </w:r>
      <w:r>
        <w:t xml:space="preserve">распределения с параметром a₀=a₁+a₂. Переход выбирается с вероятностями</w:t>
      </w:r>
      <w:r>
        <w:t xml:space="preserve"> </w:t>
      </w:r>
      <w:r>
        <w:t xml:space="preserve">a₁/a₀ и a₂/a₀. После события интенсивности пересчитываются. Событие за</w:t>
      </w:r>
      <w:r>
        <w:t xml:space="preserve"> </w:t>
      </w:r>
      <w:r>
        <w:t xml:space="preserve">пределами T не исполняется; последнее состояние дополняется строкой T.</w:t>
      </w:r>
      <w:r>
        <w:t xml:space="preserve"> </w:t>
      </w:r>
      <w:r>
        <w:t xml:space="preserve">Если a₀=0, система остаётся в текущей маркировке.</w:t>
      </w:r>
    </w:p>
    <w:bookmarkEnd w:id="28"/>
    <w:bookmarkStart w:id="29" w:name="независимый-контроль-пика"/>
    <w:p>
      <w:pPr>
        <w:pStyle w:val="Heading2"/>
      </w:pPr>
      <w:r>
        <w:t xml:space="preserve">2.3 Независимый контроль пика</w:t>
      </w:r>
    </w:p>
    <w:p>
      <w:pPr>
        <w:pStyle w:val="FirstParagraph"/>
      </w:pPr>
      <w:r>
        <w:t xml:space="preserve">Для непрерывной модели выполняется интегральное соотношение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ln</m:t>
          </m:r>
          <m:r>
            <m:t>S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γ</m:t>
              </m:r>
            </m:num>
            <m:den>
              <m:r>
                <m:t>β</m:t>
              </m:r>
            </m:den>
          </m:f>
          <m:r>
            <m:rPr>
              <m:sty m:val="p"/>
            </m:rPr>
            <m:t>ln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Внутренний максимум достигается при S*=γ/β, откуда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ln</m:t>
          </m:r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/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γ</m:t>
          </m:r>
          <m:r>
            <m:rPr>
              <m:sty m:val="p"/>
            </m:rPr>
            <m:t>/</m:t>
          </m:r>
          <m:r>
            <m:t>β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Формула проверяет численное решение независимо от интегратора. Она не</w:t>
      </w:r>
      <w:r>
        <w:t xml:space="preserve"> </w:t>
      </w:r>
      <w:r>
        <w:t xml:space="preserve">подменяет требуемый</w:t>
      </w:r>
      <w:r>
        <w:t xml:space="preserve"> </w:t>
      </w:r>
      <w:r>
        <w:rPr>
          <w:rStyle w:val="VerbatimChar"/>
        </w:rPr>
        <w:t xml:space="preserve">maximum(df.I)</w:t>
      </w:r>
      <w:r>
        <w:t xml:space="preserve"> </w:t>
      </w:r>
      <w:r>
        <w:t xml:space="preserve">на сетке 0,5: дискретный и уточнённый</w:t>
      </w:r>
      <w:r>
        <w:t xml:space="preserve"> </w:t>
      </w:r>
      <w:r>
        <w:t xml:space="preserve">пики далее приводятся раздельно.</w:t>
      </w:r>
    </w:p>
    <w:bookmarkEnd w:id="29"/>
    <w:bookmarkEnd w:id="30"/>
    <w:bookmarkStart w:id="38" w:name="вычислительная-среда-и-общий-модуль"/>
    <w:p>
      <w:pPr>
        <w:pStyle w:val="Heading1"/>
      </w:pPr>
      <w:r>
        <w:t xml:space="preserve">3. Вычислительная среда и общий модуль</w:t>
      </w:r>
    </w:p>
    <w:bookmarkStart w:id="35" w:name="организация-проекта"/>
    <w:p>
      <w:pPr>
        <w:pStyle w:val="Heading2"/>
      </w:pPr>
      <w:r>
        <w:t xml:space="preserve">3.1 Организация проекта</w:t>
      </w:r>
    </w:p>
    <w:p>
      <w:pPr>
        <w:pStyle w:val="FirstParagraph"/>
      </w:pPr>
      <w:r>
        <w:t xml:space="preserve">Использована Julia 1.11.9. Версии закреплены в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: AlgebraicPetri 0.8.11, Catlab 0.14.17, OrdinaryDiffEq 7.8.1,</w:t>
      </w:r>
      <w:r>
        <w:t xml:space="preserve"> </w:t>
      </w:r>
      <w:r>
        <w:t xml:space="preserve">DataFrames 1.8.2, CSV 0.10.17, Plots 1.41.7, DrWatson 2.19.1,</w:t>
      </w:r>
      <w:r>
        <w:t xml:space="preserve"> </w:t>
      </w:r>
      <w:r>
        <w:t xml:space="preserve">Literate 2.21.0, IJulia 1.34.4. Общий модуль расположен в</w:t>
      </w:r>
      <w:r>
        <w:t xml:space="preserve"> </w:t>
      </w:r>
      <w:r>
        <w:rPr>
          <w:rStyle w:val="VerbatimChar"/>
        </w:rPr>
        <w:t xml:space="preserve">project/src</w:t>
      </w:r>
      <w:r>
        <w:t xml:space="preserve">,</w:t>
      </w:r>
      <w:r>
        <w:t xml:space="preserve"> </w:t>
      </w:r>
      <w:r>
        <w:t xml:space="preserve">литературные исходники — в</w:t>
      </w:r>
      <w:r>
        <w:t xml:space="preserve"> </w:t>
      </w:r>
      <w:r>
        <w:rPr>
          <w:rStyle w:val="VerbatimChar"/>
        </w:rPr>
        <w:t xml:space="preserve">project/scripts</w:t>
      </w:r>
      <w:r>
        <w:t xml:space="preserve">, данные — в</w:t>
      </w:r>
      <w:r>
        <w:t xml:space="preserve"> </w:t>
      </w:r>
      <w:r>
        <w:rPr>
          <w:rStyle w:val="VerbatimChar"/>
        </w:rPr>
        <w:t xml:space="preserve">project/data</w:t>
      </w:r>
      <w:r>
        <w:t xml:space="preserve">.</w:t>
      </w:r>
      <w:r>
        <w:t xml:space="preserve"> </w:t>
      </w:r>
      <w:r>
        <w:t xml:space="preserve">Все иллюстрации находятся в едином каталоге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julia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 scripts/setup_environment.jl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tangle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run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notebooks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rPr>
          <w:rStyle w:val="VerbatimChar"/>
        </w:rPr>
        <w:t xml:space="preserve">make run</w:t>
      </w:r>
      <w:r>
        <w:t xml:space="preserve"> </w:t>
      </w:r>
      <w:r>
        <w:t xml:space="preserve">исполняет восемь сценариев;</w:t>
      </w:r>
      <w:r>
        <w:t xml:space="preserve"> </w:t>
      </w:r>
      <w:r>
        <w:rPr>
          <w:rStyle w:val="VerbatimChar"/>
        </w:rPr>
        <w:t xml:space="preserve">make notebooks</w:t>
      </w:r>
      <w:r>
        <w:t xml:space="preserve"> </w:t>
      </w:r>
      <w:r>
        <w:t xml:space="preserve">отдельно запускает</w:t>
      </w:r>
      <w:r>
        <w:t xml:space="preserve"> </w:t>
      </w:r>
      <w:r>
        <w:t xml:space="preserve">их блокноты ядром Julia. DrWatson восстанавливает корень проекта независимо</w:t>
      </w:r>
      <w:r>
        <w:t xml:space="preserve"> </w:t>
      </w:r>
      <w:r>
        <w:t xml:space="preserve">от вложенного каталога блокнота.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environmen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../image/01-terminal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Пользователь dakuokkonen, версия Julia и установленные пакеты проекта.</w:t>
            </w:r>
          </w:p>
          <w:bookmarkEnd w:id="34"/>
        </w:tc>
      </w:tr>
    </w:tbl>
    <w:p>
      <w:pPr>
        <w:pStyle w:val="BodyText"/>
      </w:pPr>
      <w:r>
        <w:t xml:space="preserve">Снимок (</w:t>
      </w:r>
      <w:hyperlink w:anchor="fig-environment">
        <w:r>
          <w:rPr>
            <w:rStyle w:val="Hyperlink"/>
          </w:rPr>
          <w:t xml:space="preserve">Рисунок 2</w:t>
        </w:r>
      </w:hyperlink>
      <w:r>
        <w:t xml:space="preserve">) фиксирует фактически используемое окружение.</w:t>
      </w:r>
    </w:p>
    <w:bookmarkEnd w:id="35"/>
    <w:bookmarkStart w:id="36" w:name="построение-сети-и-правой-части"/>
    <w:p>
      <w:pPr>
        <w:pStyle w:val="Heading2"/>
      </w:pPr>
      <w:r>
        <w:t xml:space="preserve">3.2 Построение сети и правой части</w:t>
      </w:r>
    </w:p>
    <w:p>
      <w:pPr>
        <w:pStyle w:val="FirstParagraph"/>
      </w:pPr>
      <w:r>
        <w:t xml:space="preserve">Листинг из</w:t>
      </w:r>
      <w:r>
        <w:t xml:space="preserve"> </w:t>
      </w:r>
      <w:r>
        <w:rPr>
          <w:rStyle w:val="VerbatimChar"/>
        </w:rPr>
        <w:t xml:space="preserve">project/src/SIRPetri.jl</w:t>
      </w:r>
      <w:r>
        <w:t xml:space="preserve"> </w:t>
      </w:r>
      <w:r>
        <w:t xml:space="preserve">показывает настоящий объект</w:t>
      </w:r>
      <w:r>
        <w:t xml:space="preserve"> </w:t>
      </w:r>
      <w:r>
        <w:rPr>
          <w:rStyle w:val="VerbatimChar"/>
        </w:rPr>
        <w:t xml:space="preserve">LabelledPetriNet</w:t>
      </w:r>
      <w:r>
        <w:t xml:space="preserve">. Преобразование</w:t>
      </w:r>
      <w:r>
        <w:t xml:space="preserve"> </w:t>
      </w:r>
      <w:r>
        <w:rPr>
          <w:rStyle w:val="VerbatimChar"/>
        </w:rPr>
        <w:t xml:space="preserve">PetriNet(net)</w:t>
      </w:r>
      <w:r>
        <w:t xml:space="preserve"> </w:t>
      </w:r>
      <w:r>
        <w:t xml:space="preserve">снимает символьные метки,</w:t>
      </w:r>
      <w:r>
        <w:t xml:space="preserve"> </w:t>
      </w:r>
      <w:r>
        <w:t xml:space="preserve">сохраняя структуру, и согласует индексацию с числовым вектором состояний.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γ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(isfinite, (β, γ))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(β, γ)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throw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ArgumentError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"Invalid rates"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LabelledPetriNet</w:t>
      </w:r>
      <w:r>
        <w:rPr>
          <w:rStyle w:val="NormalTok"/>
        </w:rPr>
        <w:t xml:space="preserve">([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infection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I)),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recovery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R))</w:t>
      </w:r>
      <w:r>
        <w:br/>
      </w:r>
      <w:r>
        <w:rPr>
          <w:rStyle w:val="NormalTok"/>
        </w:rPr>
        <w:t xml:space="preserve">    net, [</w:t>
      </w:r>
      <w:r>
        <w:rPr>
          <w:rStyle w:val="FloatTok"/>
        </w:rPr>
        <w:t xml:space="preserve">990.0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sir_ode</w:t>
      </w:r>
      <w:r>
        <w:rPr>
          <w:rStyle w:val="NormalTok"/>
        </w:rPr>
        <w:t xml:space="preserve">(net,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f!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vectorfield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PetriNet</w:t>
      </w:r>
      <w:r>
        <w:rPr>
          <w:rStyle w:val="NormalTok"/>
        </w:rPr>
        <w:t xml:space="preserve">(net))</w:t>
      </w:r>
      <w:r>
        <w:br/>
      </w:r>
      <w:r>
        <w:rPr>
          <w:rStyle w:val="NormalTok"/>
        </w:rPr>
        <w:t xml:space="preserve">    (du, u, p, t)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f!</w:t>
      </w:r>
      <w:r>
        <w:rPr>
          <w:rStyle w:val="NormalTok"/>
        </w:rPr>
        <w:t xml:space="preserve">(du, u, rates, t)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Правая часть получается вызовом</w:t>
      </w:r>
      <w:r>
        <w:t xml:space="preserve"> </w:t>
      </w:r>
      <w:r>
        <w:rPr>
          <w:rStyle w:val="VerbatimChar"/>
        </w:rPr>
        <w:t xml:space="preserve">vectorfield</w:t>
      </w:r>
      <w:r>
        <w:t xml:space="preserve">, а не независимой ручной</w:t>
      </w:r>
      <w:r>
        <w:t xml:space="preserve"> </w:t>
      </w:r>
      <w:r>
        <w:t xml:space="preserve">записью уравнений. Tsit5 использует относительный допуск 10⁻⁹ и абсолютный</w:t>
      </w:r>
      <w:r>
        <w:t xml:space="preserve"> </w:t>
      </w:r>
      <w:r>
        <w:t xml:space="preserve">10⁻¹⁰; проверяется успешное завершение решателя. Для уточнения пика</w:t>
      </w:r>
      <w:r>
        <w:t xml:space="preserve"> </w:t>
      </w:r>
      <w:r>
        <w:t xml:space="preserve">допуски ужесточены до 10⁻¹⁰ и 10⁻¹¹.</w:t>
      </w:r>
    </w:p>
    <w:bookmarkEnd w:id="36"/>
    <w:bookmarkStart w:id="37" w:name="прямой-метод-гиллеспи"/>
    <w:p>
      <w:pPr>
        <w:pStyle w:val="Heading2"/>
      </w:pPr>
      <w:r>
        <w:t xml:space="preserve">3.3 Прямой метод Гиллеспи</w:t>
      </w:r>
    </w:p>
    <w:p>
      <w:pPr>
        <w:pStyle w:val="FirstParagraph"/>
      </w:pPr>
      <w:r>
        <w:t xml:space="preserve">Цикл из</w:t>
      </w:r>
      <w:r>
        <w:t xml:space="preserve"> </w:t>
      </w:r>
      <w:r>
        <w:rPr>
          <w:rStyle w:val="VerbatimChar"/>
        </w:rPr>
        <w:t xml:space="preserve">simulate_stochastic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src/SIRPetri.jl</w:t>
      </w:r>
      <w:r>
        <w:t xml:space="preserve"> </w:t>
      </w:r>
      <w:r>
        <w:t xml:space="preserve">приведён ниже. До него</w:t>
      </w:r>
      <w:r>
        <w:t xml:space="preserve"> </w:t>
      </w:r>
      <w:r>
        <w:t xml:space="preserve">проверяются параметры, начальная целочисленная маркировка и интервал.</w:t>
      </w:r>
      <w:r>
        <w:t xml:space="preserve"> </w:t>
      </w:r>
      <w:r>
        <w:t xml:space="preserve">Матрица C извлекается из дуг сети.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tend</w:t>
      </w:r>
      <w:r>
        <w:br/>
      </w:r>
      <w:r>
        <w:rPr>
          <w:rStyle w:val="NormalTok"/>
        </w:rPr>
        <w:t xml:space="preserve">    propensities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[rates[j]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</w:t>
      </w:r>
      <w:r>
        <w:rPr>
          <w:rStyle w:val="NormalTok"/>
        </w:rPr>
        <w:t xml:space="preserve">(u[s] for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inputs</w:t>
      </w:r>
      <w:r>
        <w:rPr>
          <w:rStyle w:val="NormalTok"/>
        </w:rPr>
        <w:t xml:space="preserve">(net, j))</w:t>
      </w:r>
      <w:r>
        <w:br/>
      </w:r>
      <w:r>
        <w:rPr>
          <w:rStyle w:val="NormalTok"/>
        </w:rPr>
        <w:t xml:space="preserve">                   for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nt</w:t>
      </w:r>
      <w:r>
        <w:rPr>
          <w:rStyle w:val="NormalTok"/>
        </w:rPr>
        <w:t xml:space="preserve">(net)]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(propensities)</w:t>
      </w:r>
      <w:r>
        <w:br/>
      </w:r>
      <w:r>
        <w:rPr>
          <w:rStyle w:val="NormalTok"/>
        </w:rPr>
        <w:t xml:space="preserve">    total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next_t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</w:t>
      </w:r>
      <w:r>
        <w:br/>
      </w:r>
      <w:r>
        <w:rPr>
          <w:rStyle w:val="NormalTok"/>
        </w:rPr>
        <w:t xml:space="preserve">    next_t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tend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transition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searchsortedfirst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(propensities),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(rng)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total)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.+=</w:t>
      </w:r>
      <w:r>
        <w:rPr>
          <w:rStyle w:val="NormalTok"/>
        </w:rPr>
        <w:t xml:space="preserve"> 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transition]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minimum</w:t>
      </w:r>
      <w:r>
        <w:rPr>
          <w:rStyle w:val="NormalTok"/>
        </w:rPr>
        <w:t xml:space="preserve">(u)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"Negative token count"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next_t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(df, (t,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df.time[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tend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(df, (tend,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]))</w:t>
      </w:r>
    </w:p>
    <w:p>
      <w:pPr>
        <w:pStyle w:val="FirstParagraph"/>
      </w:pPr>
      <w:r>
        <w:t xml:space="preserve">Во входах переходов SIR нет повторяющихся позиций, поэтому произведение</w:t>
      </w:r>
      <w:r>
        <w:t xml:space="preserve"> </w:t>
      </w:r>
      <w:r>
        <w:t xml:space="preserve">маркировок даёт βSI и γI. Модуль не заявляется универсальным SSA для</w:t>
      </w:r>
      <w:r>
        <w:t xml:space="preserve"> </w:t>
      </w:r>
      <w:r>
        <w:t xml:space="preserve">реакций с произвольными кратностями одинаковых реагентов.</w:t>
      </w:r>
    </w:p>
    <w:bookmarkEnd w:id="37"/>
    <w:bookmarkEnd w:id="38"/>
    <w:bookmarkStart w:id="95" w:name="основные-вычислительные-сценарии"/>
    <w:p>
      <w:pPr>
        <w:pStyle w:val="Heading1"/>
      </w:pPr>
      <w:r>
        <w:t xml:space="preserve">4. Основные вычислительные сценарии</w:t>
      </w:r>
    </w:p>
    <w:bookmarkStart w:id="58" w:name="базовый-опыт"/>
    <w:p>
      <w:pPr>
        <w:pStyle w:val="Heading2"/>
      </w:pPr>
      <w:r>
        <w:t xml:space="preserve">4.1 Базовый опыт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rStyle w:val="VerbatimChar"/>
        </w:rPr>
        <w:t xml:space="preserve">sirpetri_run.jl</w:t>
      </w:r>
      <w:r>
        <w:t xml:space="preserve"> </w:t>
      </w:r>
      <w:r>
        <w:t xml:space="preserve">взяты β=0,3, γ=0,1, T=100, шаг сохранения ОДУ 0,5,</w:t>
      </w:r>
      <w:r>
        <w:t xml:space="preserve"> </w:t>
      </w:r>
      <w:r>
        <w:t xml:space="preserve">seed=123 для SSA. CSV содержат все столбцы</w:t>
      </w:r>
      <w:r>
        <w:t xml:space="preserve"> </w:t>
      </w:r>
      <w:r>
        <w:rPr>
          <w:rStyle w:val="VerbatimChar"/>
        </w:rPr>
        <w:t xml:space="preserve">time,S,I,R</w:t>
      </w:r>
      <w:r>
        <w:t xml:space="preserve">, а не одну</w:t>
      </w:r>
      <w:r>
        <w:t xml:space="preserve"> </w:t>
      </w:r>
      <w:r>
        <w:t xml:space="preserve">агрегированную метрику. Траектория ОДУ имеет 201 строку.</w:t>
      </w:r>
    </w:p>
    <w:p>
      <w:pPr>
        <w:pStyle w:val="BodyText"/>
      </w:pPr>
      <w:r>
        <w:t xml:space="preserve">Ниже включена документация, автоматически полученная из</w:t>
      </w:r>
      <w:r>
        <w:t xml:space="preserve"> </w:t>
      </w:r>
      <w:r>
        <w:rPr>
          <w:rStyle w:val="VerbatimChar"/>
        </w:rPr>
        <w:t xml:space="preserve">project/scripts/sirpetri_run.jl</w:t>
      </w:r>
      <w:r>
        <w:t xml:space="preserve"> </w:t>
      </w:r>
      <w:r>
        <w:t xml:space="preserve">средствами Literate. Аналогичный способ</w:t>
      </w:r>
      <w:r>
        <w:t xml:space="preserve"> </w:t>
      </w:r>
      <w:r>
        <w:t xml:space="preserve">использован для всех восьми сценариев: QMD-фрагменты подключены</w:t>
      </w:r>
      <w:r>
        <w:t xml:space="preserve"> </w:t>
      </w:r>
      <w:r>
        <w:t xml:space="preserve">непосредственно в соответствующие разделы отчёта.</w:t>
      </w:r>
    </w:p>
    <w:bookmarkStart w:id="57" w:name="базовый-опыт-оду-и-прямой-метод-гиллеспи"/>
    <w:p>
      <w:pPr>
        <w:pStyle w:val="Heading3"/>
      </w:pPr>
      <w:r>
        <w:t xml:space="preserve">4.1.1 Базовый опыт: ОДУ и прямой метод Гиллеспи</w:t>
      </w:r>
    </w:p>
    <w:p>
      <w:pPr>
        <w:pStyle w:val="FirstParagraph"/>
      </w:pPr>
      <w:r>
        <w:t xml:space="preserve">Источник: §6.1.3 практикума, стр. 197–200. Используется βSI, без деления на N.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Catlab.Graphics.Graphviz</w:t>
      </w:r>
    </w:p>
    <w:bookmarkStart w:id="39" w:name="сеть-и-фиксированные-параметры"/>
    <w:p>
      <w:pPr>
        <w:pStyle w:val="Heading4"/>
      </w:pPr>
      <w:r>
        <w:t xml:space="preserve">4.1.1.1 Сеть и фиксированные параметры</w:t>
      </w:r>
    </w:p>
    <w:p>
      <w:pPr>
        <w:pStyle w:val="SourceCode"/>
      </w:pPr>
      <w:r>
        <w:rPr>
          <w:rStyle w:val="NormalTok"/>
        </w:rPr>
        <w:t xml:space="preserve">β, γ,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net, u0, states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FunctionTok"/>
        </w:rPr>
        <w:t xml:space="preserve">stoichiometry</w:t>
      </w:r>
      <w:r>
        <w:rPr>
          <w:rStyle w:val="NormalTok"/>
        </w:rPr>
        <w:t xml:space="preserve">(net)</w:t>
      </w:r>
    </w:p>
    <w:bookmarkEnd w:id="39"/>
    <w:bookmarkStart w:id="40" w:name="X9e9a2e67b65ee46aeb9de9597be5e304e5561d4"/>
    <w:p>
      <w:pPr>
        <w:pStyle w:val="Heading4"/>
      </w:pPr>
      <w:r>
        <w:t xml:space="preserve">4.1.1.2 Детерминированная и стохастическая траектории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, df_det)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, df_stoch)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,), </w:t>
      </w:r>
      <w:r>
        <w:rPr>
          <w:rStyle w:val="FunctionTok"/>
        </w:rPr>
        <w:t xml:space="preserve">epidemic_summary</w:t>
      </w:r>
      <w:r>
        <w:rPr>
          <w:rStyle w:val="NormalTok"/>
        </w:rPr>
        <w:t xml:space="preserve">(df_det)),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"SSA"</w:t>
      </w:r>
      <w:r>
        <w:rPr>
          <w:rStyle w:val="NormalTok"/>
        </w:rPr>
        <w:t xml:space="preserve">,), </w:t>
      </w:r>
      <w:r>
        <w:rPr>
          <w:rStyle w:val="FunctionTok"/>
        </w:rPr>
        <w:t xml:space="preserve">epidemic_summary</w:t>
      </w:r>
      <w:r>
        <w:rPr>
          <w:rStyle w:val="NormalTok"/>
        </w:rPr>
        <w:t xml:space="preserve">(df_stoch))])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"sir_summary.csv"</w:t>
      </w:r>
      <w:r>
        <w:rPr>
          <w:rStyle w:val="NormalTok"/>
        </w:rPr>
        <w:t xml:space="preserve">, summary)</w:t>
      </w:r>
      <w:r>
        <w:br/>
      </w:r>
      <w:r>
        <w:rPr>
          <w:rStyle w:val="NormalTok"/>
        </w:rPr>
        <w:t xml:space="preserve">summary</w:t>
      </w:r>
    </w:p>
    <w:bookmarkEnd w:id="40"/>
    <w:bookmarkStart w:id="41" w:name="динамика-трёх-состояний"/>
    <w:p>
      <w:pPr>
        <w:pStyle w:val="Heading4"/>
      </w:pPr>
      <w:r>
        <w:t xml:space="preserve">4.1.1.3 Динамика трёх состояний</w:t>
      </w:r>
    </w:p>
    <w:p>
      <w:pPr>
        <w:pStyle w:val="SourceCode"/>
      </w:pPr>
      <w:r>
        <w:rPr>
          <w:rStyle w:val="NormalTok"/>
        </w:rPr>
        <w:t xml:space="preserve">p_det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(df_det;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"Deterministic SIR: beta=0.3, gamma=0.1"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(p_det,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"02-plot.png"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(p_det)</w:t>
      </w:r>
      <w:r>
        <w:br/>
      </w:r>
      <w:r>
        <w:rPr>
          <w:rStyle w:val="NormalTok"/>
        </w:rPr>
        <w:t xml:space="preserve">p_stoch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(df_stoch; stochastic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"Stochastic SIR: seed=123"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(p_stoch,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"03-plot.png"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(p_stoch)</w:t>
      </w:r>
    </w:p>
    <w:bookmarkEnd w:id="41"/>
    <w:bookmarkStart w:id="42" w:name="структура-сети-петри"/>
    <w:p>
      <w:pPr>
        <w:pStyle w:val="Heading4"/>
      </w:pPr>
      <w:r>
        <w:t xml:space="preserve">4.1.1.4 Структура сети Петри</w:t>
      </w:r>
    </w:p>
    <w:p>
      <w:pPr>
        <w:pStyle w:val="SourceCode"/>
      </w:pP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"01-plot.png"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Graphviz.</w:t>
      </w:r>
      <w:r>
        <w:rPr>
          <w:rStyle w:val="FunctionTok"/>
        </w:rPr>
        <w:t xml:space="preserve">run_graphviz</w:t>
      </w:r>
      <w:r>
        <w:rPr>
          <w:rStyle w:val="NormalTok"/>
        </w:rPr>
        <w:t xml:space="preserve">(io, </w:t>
      </w:r>
      <w:r>
        <w:rPr>
          <w:rStyle w:val="FunctionTok"/>
        </w:rPr>
        <w:t xml:space="preserve">to_graphviz_sir</w:t>
      </w:r>
      <w:r>
        <w:rPr>
          <w:rStyle w:val="NormalTok"/>
        </w:rPr>
        <w:t xml:space="preserve">(net); 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"png"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42"/>
    <w:bookmarkStart w:id="56" w:name="X06825c3e7d12bb4b28c18fbd4831cff54ee2385"/>
    <w:p>
      <w:pPr>
        <w:pStyle w:val="Heading4"/>
      </w:pPr>
      <w:r>
        <w:t xml:space="preserve">4.1.1.5 Ранний пик и ошибка дискретизации наблюдений</w:t>
      </w:r>
    </w:p>
    <w:p>
      <w:pPr>
        <w:pStyle w:val="FirstParagraph"/>
      </w:pPr>
      <w:r>
        <w:t xml:space="preserve">Шаг .5 оставлен как в методичке. Уточнение пика является отдельной проверкой.</w:t>
      </w:r>
    </w:p>
    <w:p>
      <w:pPr>
        <w:pStyle w:val="SourceCode"/>
      </w:pPr>
      <w:r>
        <w:rPr>
          <w:rStyle w:val="NormalTok"/>
        </w:rPr>
        <w:t xml:space="preserve">fine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0.0002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"sir_early.csv"</w:t>
      </w:r>
      <w:r>
        <w:rPr>
          <w:rStyle w:val="NormalTok"/>
        </w:rPr>
        <w:t xml:space="preserve">, fine)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"sir_peak_refined.csv"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([peak]))</w:t>
      </w:r>
      <w:r>
        <w:br/>
      </w:r>
      <w:r>
        <w:rPr>
          <w:rStyle w:val="NormalTok"/>
        </w:rPr>
        <w:t xml:space="preserve">p_early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plot_sir</w:t>
      </w:r>
      <w:r>
        <w:rPr>
          <w:rStyle w:val="NormalTok"/>
        </w:rPr>
        <w:t xml:space="preserve">(fine;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"Early transient: the 0.5 grid misses the peak"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(p_early,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"04-plot.png"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(p_early)</w:t>
      </w:r>
      <w:r>
        <w:br/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([peak])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det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../image/02-plot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Детерминированные S, I и R на заданном горизонте.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sa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/03-plot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Событийные S, I и R, seed=123.</w:t>
            </w:r>
          </w:p>
          <w:bookmarkEnd w:id="50"/>
        </w:tc>
      </w:tr>
    </w:tbl>
    <w:p>
      <w:pPr>
        <w:pStyle w:val="BodyText"/>
      </w:pPr>
      <w:r>
        <w:t xml:space="preserve">Графики (</w:t>
      </w:r>
      <w:hyperlink w:anchor="fig-det">
        <w:r>
          <w:rPr>
            <w:rStyle w:val="Hyperlink"/>
          </w:rPr>
          <w:t xml:space="preserve">Рисунок 3</w:t>
        </w:r>
      </w:hyperlink>
      <w:r>
        <w:t xml:space="preserve"> </w:t>
      </w:r>
      <w:r>
        <w:t xml:space="preserve">и</w:t>
      </w:r>
      <w:r>
        <w:t xml:space="preserve"> </w:t>
      </w:r>
      <w:hyperlink w:anchor="fig-ssa">
        <w:r>
          <w:rPr>
            <w:rStyle w:val="Hyperlink"/>
          </w:rPr>
          <w:t xml:space="preserve">Рисунок 4</w:t>
        </w:r>
      </w:hyperlink>
      <w:r>
        <w:t xml:space="preserve">) показывают, что восприимчивые быстро заражаются, после чего I</w:t>
      </w:r>
      <w:r>
        <w:t xml:space="preserve"> </w:t>
      </w:r>
      <w:r>
        <w:t xml:space="preserve">убывает вследствие выздоровления, а R возрастает. SSA изображена</w:t>
      </w:r>
      <w:r>
        <w:t xml:space="preserve"> </w:t>
      </w:r>
      <w:r>
        <w:t xml:space="preserve">ступенчато: отдельное событие меняет маркировку дискретно.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ba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2: Базовый опыт,</w:t>
            </w:r>
            <w:r>
              <w:t xml:space="preserve"> </w:t>
            </w:r>
            <w:r>
              <w:rPr>
                <w:rStyle w:val="VerbatimChar"/>
              </w:rPr>
              <w:t xml:space="preserve">sir_summary.csv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Показатель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ОДУ, сетка 0,5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SSA, события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Максимум I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952,691393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Время максимума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0,037042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R(100)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999,954530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Ошибка сохранения 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2,16·10⁻¹²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51"/>
          <w:p/>
        </w:tc>
      </w:tr>
    </w:tbl>
    <w:p>
      <w:pPr>
        <w:pStyle w:val="BodyText"/>
      </w:pPr>
      <w:r>
        <w:t xml:space="preserve">В базовом сравнении (</w:t>
      </w:r>
      <w:hyperlink w:anchor="tbl-base">
        <w:r>
          <w:rPr>
            <w:rStyle w:val="Hyperlink"/>
          </w:rPr>
          <w:t xml:space="preserve">Таблица 2</w:t>
        </w:r>
      </w:hyperlink>
      <w:r>
        <w:t xml:space="preserve">) способы наблюдения различаются. Уточнение ОДУ даёт</w:t>
      </w:r>
      <w:r>
        <w:t xml:space="preserve"> </w:t>
      </w:r>
      <w:r>
        <w:t xml:space="preserve">t</w:t>
      </w:r>
      <w:r>
        <w:rPr>
          <w:i/>
          <w:iCs/>
        </w:rPr>
        <w:t xml:space="preserve">=0,0420463125 и I</w:t>
      </w:r>
      <w:r>
        <w:t xml:space="preserve">=997,0012275894, совпадая с аналитическим значением</w:t>
      </w:r>
      <w:r>
        <w:t xml:space="preserve"> </w:t>
      </w:r>
      <w:r>
        <w:t xml:space="preserve">с ошибкой менее 10⁻⁸. Исходная сетка недооценивает пик примерно на</w:t>
      </w:r>
      <w:r>
        <w:t xml:space="preserve"> </w:t>
      </w:r>
      <w:r>
        <w:t xml:space="preserve">44,31 человека, или 4,44%; это не ошибка интегратора.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early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../image/04-plo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Ранний переход на сетке 0,0002.</w:t>
            </w:r>
          </w:p>
          <w:bookmarkEnd w:id="55"/>
        </w:tc>
      </w:tr>
    </w:tbl>
    <w:p>
      <w:pPr>
        <w:pStyle w:val="BodyText"/>
      </w:pPr>
      <w:hyperlink w:anchor="fig-early">
        <w:r>
          <w:rPr>
            <w:rStyle w:val="Hyperlink"/>
          </w:rPr>
          <w:t xml:space="preserve">Рисунок 5</w:t>
        </w:r>
      </w:hyperlink>
      <w:r>
        <w:t xml:space="preserve"> </w:t>
      </w:r>
      <w:r>
        <w:t xml:space="preserve">показывает, что t=0,5 находится уже после максимума.</w:t>
      </w:r>
      <w:r>
        <w:t xml:space="preserve"> </w:t>
      </w:r>
      <w:r>
        <w:t xml:space="preserve">Дополнительные данные записаны в</w:t>
      </w:r>
      <w:r>
        <w:t xml:space="preserve"> </w:t>
      </w:r>
      <w:r>
        <w:rPr>
          <w:rStyle w:val="VerbatimChar"/>
        </w:rPr>
        <w:t xml:space="preserve">sir_early.csv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sir_peak_refined.csv</w:t>
      </w:r>
      <w:r>
        <w:t xml:space="preserve">;</w:t>
      </w:r>
      <w:r>
        <w:t xml:space="preserve"> </w:t>
      </w:r>
      <w:r>
        <w:t xml:space="preserve">они не заменяют обязательные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.</w:t>
      </w:r>
    </w:p>
    <w:bookmarkEnd w:id="56"/>
    <w:bookmarkEnd w:id="57"/>
    <w:bookmarkEnd w:id="58"/>
    <w:bookmarkStart w:id="71" w:name="сканирование-коэффициента-заражения"/>
    <w:p>
      <w:pPr>
        <w:pStyle w:val="Heading2"/>
      </w:pPr>
      <w:r>
        <w:t xml:space="preserve">4.2 Сканирование коэффициента заражения</w:t>
      </w:r>
    </w:p>
    <w:p>
      <w:pPr>
        <w:pStyle w:val="FirstParagraph"/>
      </w:pPr>
      <w:r>
        <w:rPr>
          <w:rStyle w:val="VerbatimChar"/>
        </w:rPr>
        <w:t xml:space="preserve">sirpetri_scan_parameters.jl</w:t>
      </w:r>
      <w:r>
        <w:t xml:space="preserve"> </w:t>
      </w:r>
      <w:r>
        <w:t xml:space="preserve">выполняет 15 запусков β=0,1:0,05:0,8</w:t>
      </w:r>
      <w:r>
        <w:t xml:space="preserve"> </w:t>
      </w:r>
      <w:r>
        <w:t xml:space="preserve">при γ=0,1, T=100, шаге 0,5 и прежних начальных условиях.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содержит β,</w:t>
      </w:r>
      <w:r>
        <w:t xml:space="preserve"> </w:t>
      </w:r>
      <w:r>
        <w:rPr>
          <w:rStyle w:val="VerbatimChar"/>
        </w:rPr>
        <w:t xml:space="preserve">peak_I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final_R</w:t>
      </w:r>
      <w:r>
        <w:t xml:space="preserve">.</w:t>
      </w:r>
    </w:p>
    <w:bookmarkStart w:id="70" w:name="X4df98e8978c0d813e9061829745a38fd4723989"/>
    <w:p>
      <w:pPr>
        <w:pStyle w:val="Heading3"/>
      </w:pPr>
      <w:r>
        <w:t xml:space="preserve">4.2.1 Чувствительность к коэффициенту заражения</w:t>
      </w:r>
    </w:p>
    <w:p>
      <w:pPr>
        <w:pStyle w:val="FirstParagraph"/>
      </w:pPr>
      <w:r>
        <w:t xml:space="preserve">§6.1.4, стр. 200–202: ровно 15 значений β и заданная сетка наблюдений .5.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59" w:name="сканирование-при-γ.1"/>
    <w:p>
      <w:pPr>
        <w:pStyle w:val="Heading4"/>
      </w:pPr>
      <w:r>
        <w:t xml:space="preserve">4.2.1.1 Сканирование при γ=.1</w:t>
      </w:r>
    </w:p>
    <w:p>
      <w:pPr>
        <w:pStyle w:val="SourceCode"/>
      </w:pPr>
      <w:r>
        <w:rPr>
          <w:rStyle w:val="NormalTok"/>
        </w:rPr>
        <w:t xml:space="preserve">β_range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γ_fixed, tmax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(β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peak_I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final_R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rPr>
          <w:rStyle w:val="NormalTok"/>
        </w:rPr>
        <w:t xml:space="preserve">df_refined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(β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peak_I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peak_time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[], analytic</w:t>
      </w:r>
      <w:r>
        <w:rPr>
          <w:rStyle w:val="OperatorTok"/>
        </w:rPr>
        <w:t xml:space="preserve">=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β_range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γ_fixed)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γ_fixed])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(df_scan, (β,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(df.I), 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tmax);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γ_fixed])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(df_refined, (β, peak.peak, peak.time, peak.analytic))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, df_scan)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"sir_scan_refined.csv"</w:t>
      </w:r>
      <w:r>
        <w:rPr>
          <w:rStyle w:val="NormalTok"/>
        </w:rPr>
        <w:t xml:space="preserve">, df_refined)</w:t>
      </w:r>
      <w:r>
        <w:br/>
      </w:r>
      <w:r>
        <w:rPr>
          <w:rStyle w:val="NormalTok"/>
        </w:rPr>
        <w:t xml:space="preserve">df_scan</w:t>
      </w:r>
    </w:p>
    <w:bookmarkEnd w:id="59"/>
    <w:bookmarkStart w:id="60" w:name="X219d90be958a11e4590665936ee517d7be00185"/>
    <w:p>
      <w:pPr>
        <w:pStyle w:val="Heading4"/>
      </w:pPr>
      <w:r>
        <w:t xml:space="preserve">4.2.1.2 Обязательные показатели на заданной сетке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(df_scan.β, [df_scan.peak_I df_scan.final_R];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"Peak I, saveat=0.5"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R"</w:t>
      </w:r>
      <w:r>
        <w:rPr>
          <w:rStyle w:val="NormalTok"/>
        </w:rPr>
        <w:t xml:space="preserve">],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"Population"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"Sensitivity to infection rate"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"05-plot.png"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</w:p>
    <w:bookmarkEnd w:id="60"/>
    <w:bookmarkStart w:id="69" w:name="X4d5ace270b1fa36fbe66d09dbd2da6659d59e40"/>
    <w:p>
      <w:pPr>
        <w:pStyle w:val="Heading4"/>
      </w:pPr>
      <w:r>
        <w:t xml:space="preserve">4.2.1.3 Уточнённый пик не равен максимуму дискретных отсчётов</w:t>
      </w:r>
    </w:p>
    <w:p>
      <w:pPr>
        <w:pStyle w:val="SourceCode"/>
      </w:pPr>
      <w:r>
        <w:rPr>
          <w:rStyle w:val="NormalTok"/>
        </w:rPr>
        <w:t xml:space="preserve">p_peak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(df_refined.β, df_refined.peak_I;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"Refined peak"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"Early epidemic peak"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(p_peak,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"06-plot.png"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(p_peak)</w:t>
      </w:r>
      <w:r>
        <w:br/>
      </w:r>
      <w:r>
        <w:rPr>
          <w:rStyle w:val="NormalTok"/>
        </w:rPr>
        <w:t xml:space="preserve">df_refined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scan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../image/05-plo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Дискретный пик I и конечное R для обязательного диапазона β.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scan-fine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../image/06-plo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Уточнённая высота пика при изменении β.</w:t>
            </w:r>
          </w:p>
          <w:bookmarkEnd w:id="68"/>
        </w:tc>
      </w:tr>
    </w:tbl>
    <w:p>
      <w:pPr>
        <w:pStyle w:val="BodyText"/>
      </w:pPr>
      <w:r>
        <w:t xml:space="preserve">При β=0,1 дискретный максимум равен 955,6260, при 0,3 — 952,6914,</w:t>
      </w:r>
      <w:r>
        <w:t xml:space="preserve"> </w:t>
      </w:r>
      <w:r>
        <w:t xml:space="preserve">при 0,8 — 951,7772. Убывание дискретной оценки (</w:t>
      </w:r>
      <w:hyperlink w:anchor="fig-scan">
        <w:r>
          <w:rPr>
            <w:rStyle w:val="Hyperlink"/>
          </w:rPr>
          <w:t xml:space="preserve">Рисунок 6</w:t>
        </w:r>
      </w:hyperlink>
      <w:r>
        <w:t xml:space="preserve">) не означает ослабления</w:t>
      </w:r>
      <w:r>
        <w:t xml:space="preserve"> </w:t>
      </w:r>
      <w:r>
        <w:t xml:space="preserve">эпидемии: увеличение β сдвигает пик раньше, и к t=0,5 выздоровление</w:t>
      </w:r>
      <w:r>
        <w:t xml:space="preserve"> </w:t>
      </w:r>
      <w:r>
        <w:t xml:space="preserve">успевает сильнее уменьшить I. Уточнённый пик (</w:t>
      </w:r>
      <w:hyperlink w:anchor="fig-scan-fine">
        <w:r>
          <w:rPr>
            <w:rStyle w:val="Hyperlink"/>
          </w:rPr>
          <w:t xml:space="preserve">Рисунок 7</w:t>
        </w:r>
      </w:hyperlink>
      <w:r>
        <w:t xml:space="preserve">),</w:t>
      </w:r>
      <w:r>
        <w:t xml:space="preserve"> </w:t>
      </w:r>
      <w:r>
        <w:t xml:space="preserve">напротив, возрастает; R(100) почти постоянно и близко к 1000.</w:t>
      </w:r>
    </w:p>
    <w:bookmarkEnd w:id="69"/>
    <w:bookmarkEnd w:id="70"/>
    <w:bookmarkEnd w:id="71"/>
    <w:bookmarkStart w:id="80" w:name="анимация-маркировок"/>
    <w:p>
      <w:pPr>
        <w:pStyle w:val="Heading2"/>
      </w:pPr>
      <w:r>
        <w:t xml:space="preserve">4.3 Анимация маркировок</w:t>
      </w:r>
    </w:p>
    <w:p>
      <w:pPr>
        <w:pStyle w:val="FirstParagraph"/>
      </w:pPr>
      <w:r>
        <w:rPr>
          <w:rStyle w:val="VerbatimChar"/>
        </w:rPr>
        <w:t xml:space="preserve">sirpetri_animate.jl</w:t>
      </w:r>
      <w:r>
        <w:t xml:space="preserve"> </w:t>
      </w:r>
      <w:r>
        <w:t xml:space="preserve">использует β=0,3, γ=0,1 и 501 момент от 0 до 100</w:t>
      </w:r>
      <w:r>
        <w:t xml:space="preserve"> </w:t>
      </w:r>
      <w:r>
        <w:t xml:space="preserve">с шагом 0,2. В кадре три столбца S/I/R с фиксированной шкалой 0–1050.</w:t>
      </w:r>
      <w:r>
        <w:t xml:space="preserve"> </w:t>
      </w:r>
      <w:r>
        <w:rPr>
          <w:rStyle w:val="VerbatimChar"/>
        </w:rPr>
        <w:t xml:space="preserve">01-animation.gif</w:t>
      </w:r>
      <w:r>
        <w:t xml:space="preserve"> </w:t>
      </w:r>
      <w:r>
        <w:t xml:space="preserve">при 25 кадрах/с длится около 20 секунд.</w:t>
      </w:r>
    </w:p>
    <w:bookmarkStart w:id="79" w:name="анимация-детерминированной-динамики"/>
    <w:p>
      <w:pPr>
        <w:pStyle w:val="Heading3"/>
      </w:pPr>
      <w:r>
        <w:t xml:space="preserve">4.3.1 Анимация детерминированной динамики</w:t>
      </w:r>
    </w:p>
    <w:p>
      <w:pPr>
        <w:pStyle w:val="FirstParagraph"/>
      </w:pPr>
      <w:r>
        <w:t xml:space="preserve">§6.1.5, стр. 202–204. В печатном коде ошибочно повторён сканирующий сценарий.</w:t>
      </w:r>
      <w:r>
        <w:t xml:space="preserve"> </w:t>
      </w:r>
      <w:r>
        <w:t xml:space="preserve">Здесь реализовано текстовое задание: 501 кадр S/I/R на всём интервале 0…100.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72" w:name="траектория-с-шагом-.2"/>
    <w:p>
      <w:pPr>
        <w:pStyle w:val="Heading4"/>
      </w:pPr>
      <w:r>
        <w:t xml:space="preserve">4.3.1.1 Траектория с шагом .2</w:t>
      </w:r>
    </w:p>
    <w:p>
      <w:pPr>
        <w:pStyle w:val="SourceCode"/>
      </w:pPr>
      <w:r>
        <w:rPr>
          <w:rStyle w:val="NormalTok"/>
        </w:rPr>
        <w:t xml:space="preserve">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df_animation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"sir_animation.csv"</w:t>
      </w:r>
      <w:r>
        <w:rPr>
          <w:rStyle w:val="NormalTok"/>
        </w:rPr>
        <w:t xml:space="preserve">, df_animation)</w:t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(df_animation,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)</w:t>
      </w:r>
    </w:p>
    <w:bookmarkEnd w:id="72"/>
    <w:bookmarkStart w:id="73" w:name="сохранение-и-показ-gif"/>
    <w:p>
      <w:pPr>
        <w:pStyle w:val="Heading4"/>
      </w:pPr>
      <w:r>
        <w:t xml:space="preserve">4.3.1.2 Сохранение и показ GIF</w:t>
      </w:r>
    </w:p>
    <w:p>
      <w:pPr>
        <w:pStyle w:val="SourceCode"/>
      </w:pPr>
      <w:r>
        <w:rPr>
          <w:rStyle w:val="NormalTok"/>
        </w:rPr>
        <w:t xml:space="preserve">animation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animate_sir</w:t>
      </w:r>
      <w:r>
        <w:rPr>
          <w:rStyle w:val="NormalTok"/>
        </w:rPr>
        <w:t xml:space="preserve">(df_animation, </w:t>
      </w:r>
      <w:r>
        <w:rPr>
          <w:rStyle w:val="StringTok"/>
        </w:rPr>
        <w:t xml:space="preserve">"01-animation.gif"</w:t>
      </w:r>
      <w:r>
        <w:rPr>
          <w:rStyle w:val="NormalTok"/>
        </w:rPr>
        <w:t xml:space="preserve">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"beta=0.3, gamma=0.1"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(animation)</w:t>
      </w:r>
    </w:p>
    <w:bookmarkEnd w:id="73"/>
    <w:bookmarkStart w:id="78" w:name="Xe74d0e89118a1e728bdf967d36082796aec4e1b"/>
    <w:p>
      <w:pPr>
        <w:pStyle w:val="Heading4"/>
      </w:pPr>
      <w:r>
        <w:t xml:space="preserve">4.3.1.3 Опорные состояния для печатного документа</w:t>
      </w:r>
    </w:p>
    <w:p>
      <w:pPr>
        <w:pStyle w:val="SourceCode"/>
      </w:pPr>
      <w:r>
        <w:rPr>
          <w:rStyle w:val="NormalTok"/>
        </w:rPr>
        <w:t xml:space="preserve">panels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bar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], [df_animation.S[i], df_animation.I[i], df_animation.R[i]];</w:t>
      </w:r>
      <w:r>
        <w:br/>
      </w:r>
      <w:r>
        <w:rPr>
          <w:rStyle w:val="NormalTok"/>
        </w:rPr>
        <w:t xml:space="preserve">    color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royalblue,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firebrick,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seagreen], legend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ylim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(df_animation.time[i])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 for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51</w:t>
      </w:r>
      <w:r>
        <w:rPr>
          <w:rStyle w:val="NormalTok"/>
        </w:rPr>
        <w:t xml:space="preserve">,</w:t>
      </w:r>
      <w:r>
        <w:rPr>
          <w:rStyle w:val="FloatTok"/>
        </w:rPr>
        <w:t xml:space="preserve">501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(panels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1100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750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(p_frames,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"07-plot.png"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(p_frames)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animation"/>
          <w:p>
            <w:pPr>
              <w:pStyle w:val="Compact"/>
              <w:jc w:val="center"/>
            </w:pPr>
            <w:r>
              <w:drawing>
                <wp:inline>
                  <wp:extent cx="5456428" cy="372029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/07-plo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720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Состояния анимации при t=0; 0,2; 10; 100.</w:t>
            </w:r>
          </w:p>
          <w:bookmarkEnd w:id="77"/>
        </w:tc>
      </w:tr>
    </w:tbl>
    <w:p>
      <w:pPr>
        <w:pStyle w:val="BodyText"/>
      </w:pPr>
      <w:r>
        <w:t xml:space="preserve">В последовательности кадров (</w:t>
      </w:r>
      <w:hyperlink w:anchor="fig-animation">
        <w:r>
          <w:rPr>
            <w:rStyle w:val="Hyperlink"/>
          </w:rPr>
          <w:t xml:space="preserve">Рисунок 8</w:t>
        </w:r>
      </w:hyperlink>
      <w:r>
        <w:t xml:space="preserve">) сначала преобладает S, затем I, затем R. Этот рисунок</w:t>
      </w:r>
      <w:r>
        <w:t xml:space="preserve"> </w:t>
      </w:r>
      <w:r>
        <w:t xml:space="preserve">служит печатным представлением реально построенной GIF. Шаг 0,2 также</w:t>
      </w:r>
      <w:r>
        <w:t xml:space="preserve"> </w:t>
      </w:r>
      <w:r>
        <w:t xml:space="preserve">не разрешает ранний пик подробно. На стр. 203–204 примера вместо</w:t>
      </w:r>
      <w:r>
        <w:t xml:space="preserve"> </w:t>
      </w:r>
      <w:r>
        <w:t xml:space="preserve">анимации повторён код сканирования; здесь выполнено текстовое требование</w:t>
      </w:r>
      <w:r>
        <w:t xml:space="preserve"> </w:t>
      </w:r>
      <w:r>
        <w:t xml:space="preserve">об изменении маркировок во времени.</w:t>
      </w:r>
    </w:p>
    <w:bookmarkEnd w:id="78"/>
    <w:bookmarkEnd w:id="79"/>
    <w:bookmarkEnd w:id="80"/>
    <w:bookmarkStart w:id="94" w:name="отдельный-анализ-csv"/>
    <w:p>
      <w:pPr>
        <w:pStyle w:val="Heading2"/>
      </w:pPr>
      <w:r>
        <w:t xml:space="preserve">4.4 Отдельный анализ CSV</w:t>
      </w:r>
    </w:p>
    <w:p>
      <w:pPr>
        <w:pStyle w:val="FirstParagraph"/>
      </w:pPr>
      <w:r>
        <w:rPr>
          <w:rStyle w:val="VerbatimChar"/>
        </w:rPr>
        <w:t xml:space="preserve">sirpetri_report.jl</w:t>
      </w:r>
      <w:r>
        <w:t xml:space="preserve"> </w:t>
      </w:r>
      <w:r>
        <w:t xml:space="preserve">читает</w:t>
      </w:r>
      <w:r>
        <w:t xml:space="preserve"> </w:t>
      </w:r>
      <w:r>
        <w:rPr>
          <w:rStyle w:val="VerbatimChar"/>
        </w:rPr>
        <w:t xml:space="preserve">sir_det.csv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sir_stoch.csv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sir_scan.csv</w:t>
      </w:r>
      <w:r>
        <w:t xml:space="preserve"> </w:t>
      </w:r>
      <w:r>
        <w:t xml:space="preserve">без повторной симуляции. SSA использует свои реальные времена событий.</w:t>
      </w:r>
      <w:r>
        <w:t xml:space="preserve"> </w:t>
      </w:r>
      <w:r>
        <w:t xml:space="preserve">Для численной метрики она отображается на 201 момент ОДУ правосторонне</w:t>
      </w:r>
      <w:r>
        <w:t xml:space="preserve"> </w:t>
      </w:r>
      <w:r>
        <w:t xml:space="preserve">непрерывной ступенчатой интерполяцией.</w:t>
      </w:r>
    </w:p>
    <w:bookmarkStart w:id="93" w:name="анализ-ранее-сохранённых-результатов"/>
    <w:p>
      <w:pPr>
        <w:pStyle w:val="Heading3"/>
      </w:pPr>
      <w:r>
        <w:t xml:space="preserve">4.4.1 Анализ ранее сохранённых результатов</w:t>
      </w:r>
    </w:p>
    <w:p>
      <w:pPr>
        <w:pStyle w:val="FirstParagraph"/>
      </w:pPr>
      <w:r>
        <w:t xml:space="preserve">§6.1.6, стр. 204–207. Моделирование здесь не повторяется.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81" w:name="независимое-чтение-трёх-обязательных-csv"/>
    <w:p>
      <w:pPr>
        <w:pStyle w:val="Heading4"/>
      </w:pPr>
      <w:r>
        <w:t xml:space="preserve">4.4.1.1 Независимое чтение трёх обязательных CSV</w:t>
      </w:r>
    </w:p>
    <w:p>
      <w:pPr>
        <w:pStyle w:val="SourceCode"/>
      </w:pPr>
      <w:r>
        <w:rPr>
          <w:rStyle w:val="NormalTok"/>
        </w:rPr>
        <w:t xml:space="preserve">df_det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"sir_det.csv"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"sir_stoch.csv"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(df_det),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(df_stoch),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(df_scan))</w:t>
      </w:r>
    </w:p>
    <w:bookmarkEnd w:id="81"/>
    <w:bookmarkStart w:id="82" w:name="сравнение-it-по-действительным-временам"/>
    <w:p>
      <w:pPr>
        <w:pStyle w:val="Heading4"/>
      </w:pPr>
      <w:r>
        <w:t xml:space="preserve">4.4.1.2 Сравнение I(t) по действительным временам</w:t>
      </w:r>
    </w:p>
    <w:p>
      <w:pPr>
        <w:pStyle w:val="SourceCode"/>
      </w:pPr>
      <w:r>
        <w:rPr>
          <w:rStyle w:val="NormalTok"/>
        </w:rPr>
        <w:t xml:space="preserve">p_comparison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(df_det.time, df_det.I;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"Infected"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"ODE and SSA: original time grids"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(p_comparison, df_stoch.time, df_stoch.I;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"SSA"</w:t>
      </w:r>
      <w:r>
        <w:rPr>
          <w:rStyle w:val="NormalTok"/>
        </w:rPr>
        <w:t xml:space="preserve">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steppost)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(p_comparison,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"08-plot.png"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(p_comparison)</w:t>
      </w:r>
    </w:p>
    <w:bookmarkEnd w:id="82"/>
    <w:bookmarkStart w:id="83" w:name="численная-разность-на-общей-сетке"/>
    <w:p>
      <w:pPr>
        <w:pStyle w:val="Heading4"/>
      </w:pPr>
      <w:r>
        <w:t xml:space="preserve">4.4.1.3 Численная разность на общей сетке</w:t>
      </w:r>
    </w:p>
    <w:p>
      <w:pPr>
        <w:pStyle w:val="SourceCode"/>
      </w:pPr>
      <w:r>
        <w:rPr>
          <w:rStyle w:val="NormalTok"/>
        </w:rPr>
        <w:t xml:space="preserve">aligned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state_at</w:t>
      </w:r>
      <w:r>
        <w:rPr>
          <w:rStyle w:val="NormalTok"/>
        </w:rPr>
        <w:t xml:space="preserve">(df_stoch, df_det.time)</w:t>
      </w:r>
      <w:r>
        <w:br/>
      </w:r>
      <w:r>
        <w:rPr>
          <w:rStyle w:val="NormalTok"/>
        </w:rPr>
        <w:t xml:space="preserve">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df_det.time, ODE_I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df_det.I, SSA_I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aligned.I,</w:t>
      </w:r>
      <w:r>
        <w:br/>
      </w:r>
      <w:r>
        <w:rPr>
          <w:rStyle w:val="NormalTok"/>
        </w:rPr>
        <w:t xml:space="preserve">    difference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aligned.I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df_det.I)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"sir_comparison.csv"</w:t>
      </w:r>
      <w:r>
        <w:rPr>
          <w:rStyle w:val="NormalTok"/>
        </w:rPr>
        <w:t xml:space="preserve">, difference)</w:t>
      </w:r>
      <w:r>
        <w:br/>
      </w:r>
      <w:r>
        <w:rPr>
          <w:rStyle w:val="NormalTok"/>
        </w:rPr>
        <w:t xml:space="preserve">metrics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(rmse_I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(difference.difference</w:t>
      </w:r>
      <w:r>
        <w:rPr>
          <w:rStyle w:val="OperatorTok"/>
        </w:rPr>
        <w:t xml:space="preserve">.^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))],</w:t>
      </w:r>
      <w:r>
        <w:br/>
      </w:r>
      <w:r>
        <w:rPr>
          <w:rStyle w:val="NormalTok"/>
        </w:rPr>
        <w:t xml:space="preserve">    max_abs_I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.(difference.difference))])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"sir_comparison_summary.csv"</w:t>
      </w:r>
      <w:r>
        <w:rPr>
          <w:rStyle w:val="NormalTok"/>
        </w:rPr>
        <w:t xml:space="preserve">, metrics)</w:t>
      </w:r>
      <w:r>
        <w:br/>
      </w:r>
      <w:r>
        <w:rPr>
          <w:rStyle w:val="NormalTok"/>
        </w:rPr>
        <w:t xml:space="preserve">metrics</w:t>
      </w:r>
    </w:p>
    <w:bookmarkEnd w:id="83"/>
    <w:bookmarkStart w:id="92" w:name="чувствительность-без-повторного-расчёта"/>
    <w:p>
      <w:pPr>
        <w:pStyle w:val="Heading4"/>
      </w:pPr>
      <w:r>
        <w:t xml:space="preserve">4.4.1.4 Чувствительность без повторного расчёта</w:t>
      </w:r>
    </w:p>
    <w:p>
      <w:pPr>
        <w:pStyle w:val="SourceCode"/>
      </w:pPr>
      <w:r>
        <w:rPr>
          <w:rStyle w:val="NormalTok"/>
        </w:rPr>
        <w:t xml:space="preserve">p_sensitivity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(df_scan.β, df_scan.peak_I;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 on 0.5 grid"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"Sensitivity from saved 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(p_sensitivity,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"09-plot.png"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(p_sensitivity)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comparison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../image/08-plot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I(t) ОДУ и SSA на собственных временных сетках.</w:t>
            </w:r>
          </w:p>
          <w:bookmarkEnd w:id="8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report-scan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../image/09-plot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Чувствительность дискретного пика, восстановленная из CSV.</w:t>
            </w:r>
          </w:p>
          <w:bookmarkEnd w:id="91"/>
        </w:tc>
      </w:tr>
    </w:tbl>
    <w:p>
      <w:pPr>
        <w:pStyle w:val="BodyText"/>
      </w:pPr>
      <w:r>
        <w:t xml:space="preserve">При сравнении (</w:t>
      </w:r>
      <w:hyperlink w:anchor="fig-comparison">
        <w:r>
          <w:rPr>
            <w:rStyle w:val="Hyperlink"/>
          </w:rPr>
          <w:t xml:space="preserve">Рисунок 9</w:t>
        </w:r>
      </w:hyperlink>
      <w:r>
        <w:t xml:space="preserve">) наблюдается близкая динамика после быстрого начального</w:t>
      </w:r>
      <w:r>
        <w:t xml:space="preserve"> </w:t>
      </w:r>
      <w:r>
        <w:t xml:space="preserve">перехода. RMSE на общей сетке равна 3,5954 человека, максимальное абсолютное</w:t>
      </w:r>
      <w:r>
        <w:t xml:space="preserve"> </w:t>
      </w:r>
      <w:r>
        <w:t xml:space="preserve">различие — 19,0308. Это характеристика одного SSA, не доверительный</w:t>
      </w:r>
      <w:r>
        <w:t xml:space="preserve"> </w:t>
      </w:r>
      <w:r>
        <w:t xml:space="preserve">интервал и не ошибка интегратора.</w:t>
      </w:r>
      <w:r>
        <w:t xml:space="preserve"> </w:t>
      </w:r>
      <w:hyperlink w:anchor="fig-report-scan">
        <w:r>
          <w:rPr>
            <w:rStyle w:val="Hyperlink"/>
          </w:rPr>
          <w:t xml:space="preserve">Рисунок 10</w:t>
        </w:r>
      </w:hyperlink>
      <w:r>
        <w:t xml:space="preserve"> </w:t>
      </w:r>
      <w:r>
        <w:t xml:space="preserve">воспроизводит метрику</w:t>
      </w:r>
      <w:r>
        <w:t xml:space="preserve"> </w:t>
      </w:r>
      <w:r>
        <w:t xml:space="preserve">сканирования из сохранённых данных. Ошибка согласования временных</w:t>
      </w:r>
      <w:r>
        <w:t xml:space="preserve"> </w:t>
      </w:r>
      <w:r>
        <w:t xml:space="preserve">индексов в примере стр. 206 исправлена.</w:t>
      </w:r>
    </w:p>
    <w:bookmarkEnd w:id="92"/>
    <w:bookmarkEnd w:id="93"/>
    <w:bookmarkEnd w:id="94"/>
    <w:bookmarkEnd w:id="95"/>
    <w:bookmarkStart w:id="127" w:name="параметрические-варианты"/>
    <w:p>
      <w:pPr>
        <w:pStyle w:val="Heading1"/>
      </w:pPr>
      <w:r>
        <w:t xml:space="preserve">5. Параметрические варианты</w:t>
      </w:r>
    </w:p>
    <w:bookmarkStart w:id="105" w:name="Xdde3d3a986666a40dcf50021c593d3a9afedbf5"/>
    <w:p>
      <w:pPr>
        <w:pStyle w:val="Heading2"/>
      </w:pPr>
      <w:r>
        <w:t xml:space="preserve">5.1 Девять сочетаний и 180 стохастических запусков</w:t>
      </w:r>
    </w:p>
    <w:p>
      <w:pPr>
        <w:pStyle w:val="FirstParagraph"/>
      </w:pPr>
      <w:r>
        <w:t xml:space="preserve">Для §6.2 приняты β∈{0,1;0,3;0,8} и γ∈{0,05;0,1;0,2}.</w:t>
      </w:r>
      <w:r>
        <w:t xml:space="preserve"> </w:t>
      </w:r>
      <w:r>
        <w:t xml:space="preserve">Каждому из девяти сочетаний соответствуют ОДУ и 20 SSA. Начальные условия,</w:t>
      </w:r>
      <w:r>
        <w:t xml:space="preserve"> </w:t>
      </w:r>
      <w:r>
        <w:t xml:space="preserve">T=100 и шаг ОДУ 0,5 сохранены. Seed равен</w:t>
      </w:r>
      <w:r>
        <w:t xml:space="preserve"> </w:t>
      </w:r>
      <w:r>
        <w:rPr>
          <w:rStyle w:val="VerbatimChar"/>
        </w:rPr>
        <w:t xml:space="preserve">123+100*case_id+replicate</w:t>
      </w:r>
      <w:r>
        <w:t xml:space="preserve">.</w:t>
      </w:r>
      <w:r>
        <w:t xml:space="preserve"> </w:t>
      </w:r>
      <w:r>
        <w:t xml:space="preserve">Среднее и выборочное стандартное отклонение вычисляются по 20 повторам.</w:t>
      </w:r>
    </w:p>
    <w:bookmarkStart w:id="104" w:name="X5e4d02b3e029450d56185f708d040c96ff01345"/>
    <w:p>
      <w:pPr>
        <w:pStyle w:val="Heading3"/>
      </w:pPr>
      <w:r>
        <w:t xml:space="preserve">5.1.1 Параметрическая серия и стохастические повторы</w:t>
      </w:r>
    </w:p>
    <w:p>
      <w:pPr>
        <w:pStyle w:val="FirstParagraph"/>
      </w:pPr>
      <w:r>
        <w:t xml:space="preserve">Дополнение §6.2: девять сочетаний β/γ, по 20 независимых SSA-траекторий.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96" w:name="X2eb6a1eb084bd645606fefd0c5b0b45e31530e3"/>
    <w:p>
      <w:pPr>
        <w:pStyle w:val="Heading4"/>
      </w:pPr>
      <w:r>
        <w:t xml:space="preserve">5.1.1.1 План: 3 × 3 сочетания и воспроизводимые seed</w:t>
      </w:r>
    </w:p>
    <w:p>
      <w:pPr>
        <w:pStyle w:val="SourceCode"/>
      </w:pPr>
      <w:r>
        <w:rPr>
          <w:rStyle w:val="NormalTok"/>
        </w:rPr>
        <w:t xml:space="preserve">betas, gammas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],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repeats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20</w:t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NormalTok"/>
        </w:rPr>
        <w:t xml:space="preserve">det_rows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(case_id, (β, γ))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Iterators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product</w:t>
      </w:r>
      <w:r>
        <w:rPr>
          <w:rStyle w:val="NormalTok"/>
        </w:rPr>
        <w:t xml:space="preserve">(betas, gammas))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    det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(det_rows,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 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 refined_peak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peak.peak), </w:t>
      </w:r>
      <w:r>
        <w:rPr>
          <w:rStyle w:val="FunctionTok"/>
        </w:rPr>
        <w:t xml:space="preserve">epidemic_summary</w:t>
      </w:r>
      <w:r>
        <w:rPr>
          <w:rStyle w:val="NormalTok"/>
        </w:rPr>
        <w:t xml:space="preserve">(det)))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"parameters/det_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(case_id)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, det)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repetition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repeats</w:t>
      </w:r>
      <w:r>
        <w:br/>
      </w:r>
      <w:r>
        <w:rPr>
          <w:rStyle w:val="NormalTok"/>
        </w:rPr>
        <w:t xml:space="preserve">        seed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case_id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repetition</w:t>
      </w:r>
      <w:r>
        <w:br/>
      </w:r>
      <w:r>
        <w:rPr>
          <w:rStyle w:val="NormalTok"/>
        </w:rPr>
        <w:t xml:space="preserve">        stoch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γ], rng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Xoshiro</w:t>
      </w:r>
      <w:r>
        <w:rPr>
          <w:rStyle w:val="NormalTok"/>
        </w:rPr>
        <w:t xml:space="preserve">(seed))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((case_id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case_id, 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 repetition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repetition, seed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seed),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epidemic_summary</w:t>
      </w:r>
      <w:r>
        <w:rPr>
          <w:rStyle w:val="NormalTok"/>
        </w:rPr>
        <w:t xml:space="preserve">(stoch)))</w:t>
      </w:r>
      <w:r>
        <w:br/>
      </w:r>
      <w:r>
        <w:rPr>
          <w:rStyle w:val="NormalTok"/>
        </w:rPr>
        <w:t xml:space="preserve">        repetition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"parameters/ssa_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(case_id)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, stoch)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NormalTok"/>
        </w:rPr>
        <w:t xml:space="preserve">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(det_rows)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"sir_param_replicates.csv"</w:t>
      </w:r>
      <w:r>
        <w:rPr>
          <w:rStyle w:val="NormalTok"/>
        </w:rPr>
        <w:t xml:space="preserve">, ensemble)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"sir_param_deterministic.csv"</w:t>
      </w:r>
      <w:r>
        <w:rPr>
          <w:rStyle w:val="NormalTok"/>
        </w:rPr>
        <w:t xml:space="preserve">, deterministic)</w:t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(ensemble,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bookmarkEnd w:id="96"/>
    <w:bookmarkStart w:id="97" w:name="Xe2a4e5b3958e4c3636c9015eb5360f9653c23ee"/>
    <w:p>
      <w:pPr>
        <w:pStyle w:val="Heading4"/>
      </w:pPr>
      <w:r>
        <w:t xml:space="preserve">5.1.1.2 Средние и стандартные отклонения, не доверительный интервал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groupby</w:t>
      </w:r>
      <w:r>
        <w:rPr>
          <w:rStyle w:val="NormalTok"/>
        </w:rPr>
        <w:t xml:space="preserve">(ensemble,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case_id,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γ]),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peak_mean,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peak_I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peak_sd,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final_R_mean,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std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final_R_sd,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peak_time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mean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time_mean)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"sir_param_summary.csv"</w:t>
      </w:r>
      <w:r>
        <w:rPr>
          <w:rStyle w:val="NormalTok"/>
        </w:rPr>
        <w:t xml:space="preserve">, summary)</w:t>
      </w:r>
      <w:r>
        <w:br/>
      </w:r>
      <w:r>
        <w:rPr>
          <w:rStyle w:val="NormalTok"/>
        </w:rPr>
        <w:t xml:space="preserve">summary</w:t>
      </w:r>
    </w:p>
    <w:bookmarkEnd w:id="97"/>
    <w:bookmarkStart w:id="103" w:name="X9a82c5fad21723303f294368aa3a9d2a8adef21"/>
    <w:p>
      <w:pPr>
        <w:pStyle w:val="Heading4"/>
      </w:pPr>
      <w:r>
        <w:t xml:space="preserve">5.1.1.3 Изменение стохастического пика при разных скоростях</w:t>
      </w:r>
    </w:p>
    <w:p>
      <w:pPr>
        <w:pStyle w:val="SourceCode"/>
      </w:pPr>
      <w:r>
        <w:rPr>
          <w:rStyle w:val="NormalTok"/>
        </w:rPr>
        <w:t xml:space="preserve">p_ensemble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infected"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"SSA: mean and SD, 20 runs"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gammas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(summary[summary.γ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(p_ensemble, d.β, d.peak_mean; yerror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d.peak_sd,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(p_ensemble,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"10-plot.png"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(p_ensemble)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replicates"/>
          <w:p>
            <w:pPr>
              <w:pStyle w:val="Compact"/>
              <w:jc w:val="center"/>
            </w:pPr>
            <w:r>
              <w:drawing>
                <wp:inline>
                  <wp:extent cx="5456428" cy="3224252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/10-plot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2242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Средние пики SSA и стандартные отклонения по 20 повторам.</w:t>
            </w:r>
          </w:p>
          <w:bookmarkEnd w:id="10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tbl-replica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3: Статистика</w:t>
            </w:r>
            <w:r>
              <w:t xml:space="preserve"> </w:t>
            </w:r>
            <w:r>
              <w:rPr>
                <w:rStyle w:val="VerbatimChar"/>
              </w:rPr>
              <w:t xml:space="preserve">sir_param_summary.csv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β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γ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Средний пик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Станд. отклонение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Среднее R(100)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996,85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993,50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998,95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993,15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992,80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993,35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2,41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997,80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1,36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999,90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999,95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985,70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3,21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996,00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1,52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1000,00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0,20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998,55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1,10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1000,00</w:t>
                  </w:r>
                </w:p>
              </w:tc>
            </w:tr>
          </w:tbl>
          <w:bookmarkEnd w:id="102"/>
          <w:p/>
        </w:tc>
      </w:tr>
    </w:tbl>
    <w:p>
      <w:pPr>
        <w:pStyle w:val="BodyText"/>
      </w:pPr>
      <w:r>
        <w:t xml:space="preserve">При фиксированном γ рост β повышает средний пик; рост γ при неизменном</w:t>
      </w:r>
      <w:r>
        <w:t xml:space="preserve"> </w:t>
      </w:r>
      <w:r>
        <w:t xml:space="preserve">β его уменьшает. При γ=0,05 к T=100 остаётся несколько заражённых.</w:t>
      </w:r>
      <w:r>
        <w:t xml:space="preserve"> </w:t>
      </w:r>
      <w:r>
        <w:t xml:space="preserve">R(100)&lt;1000 объясняется конечным горизонтом, а не потерей численности.</w:t>
      </w:r>
      <w:r>
        <w:t xml:space="preserve"> </w:t>
      </w:r>
      <w:r>
        <w:t xml:space="preserve">Вертикальные отрезки (</w:t>
      </w:r>
      <w:hyperlink w:anchor="fig-replicates">
        <w:r>
          <w:rPr>
            <w:rStyle w:val="Hyperlink"/>
          </w:rPr>
          <w:t xml:space="preserve">Рисунок 11</w:t>
        </w:r>
      </w:hyperlink>
      <w:r>
        <w:t xml:space="preserve">) — стандартные отклонения, не 95%-е интервалы.</w:t>
      </w:r>
    </w:p>
    <w:bookmarkEnd w:id="103"/>
    <w:bookmarkEnd w:id="104"/>
    <w:bookmarkEnd w:id="105"/>
    <w:bookmarkStart w:id="113" w:name="сетка-из-45-опытов"/>
    <w:p>
      <w:pPr>
        <w:pStyle w:val="Heading2"/>
      </w:pPr>
      <w:r>
        <w:t xml:space="preserve">5.2 Сетка из 45 опытов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sirpetri_scan_parameters__param.jl</w:t>
      </w:r>
      <w:r>
        <w:t xml:space="preserve"> </w:t>
      </w:r>
      <w:r>
        <w:t xml:space="preserve">исходные 15 β повторены при</w:t>
      </w:r>
      <w:r>
        <w:t xml:space="preserve"> </w:t>
      </w:r>
      <w:r>
        <w:t xml:space="preserve">трёх γ. Максимум на сетке 0,5 и уточнённый пик сохраняются отдельно.</w:t>
      </w:r>
    </w:p>
    <w:bookmarkStart w:id="112" w:name="двухпараметрическое-исследование"/>
    <w:p>
      <w:pPr>
        <w:pStyle w:val="Heading3"/>
      </w:pPr>
      <w:r>
        <w:t xml:space="preserve">5.2.1 Двухпараметрическое исследование</w:t>
      </w:r>
    </w:p>
    <w:p>
      <w:pPr>
        <w:pStyle w:val="FirstParagraph"/>
      </w:pPr>
      <w:r>
        <w:t xml:space="preserve">§6.2: исходные 15 значений β повторяются при γ=.05, .1, .2; всего 45 ОДУ.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106" w:name="расчёты-и-отдельное-уточнение-пика"/>
    <w:p>
      <w:pPr>
        <w:pStyle w:val="Heading4"/>
      </w:pPr>
      <w:r>
        <w:t xml:space="preserve">5.2.1.1 Расчёты и отдельное уточнение пика</w:t>
      </w:r>
    </w:p>
    <w:p>
      <w:pPr>
        <w:pStyle w:val="SourceCode"/>
      </w:pP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], β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0.05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γ)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    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refined_peak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 γ])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(rows,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γ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γ, peak_I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(df.I), final_R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df.R[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refined_peak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peak.peak, peak_time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peak.time))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df_scan_param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"sir_scan_param.csv"</w:t>
      </w:r>
      <w:r>
        <w:rPr>
          <w:rStyle w:val="NormalTok"/>
        </w:rPr>
        <w:t xml:space="preserve">, df_scan_param)</w:t>
      </w:r>
      <w:r>
        <w:br/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(df_scan_param,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</w:t>
      </w:r>
    </w:p>
    <w:bookmarkEnd w:id="106"/>
    <w:bookmarkStart w:id="111" w:name="две-панели-дискретный-и-уточнённый-пик"/>
    <w:p>
      <w:pPr>
        <w:pStyle w:val="Heading4"/>
      </w:pPr>
      <w:r>
        <w:t xml:space="preserve">5.2.1.2 Две панели: дискретный и уточнённый пик</w:t>
      </w:r>
    </w:p>
    <w:p>
      <w:pPr>
        <w:pStyle w:val="SourceCode"/>
      </w:pPr>
      <w:r>
        <w:rPr>
          <w:rStyle w:val="NormalTok"/>
        </w:rPr>
        <w:t xml:space="preserve">p_grid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"Peak I, saveat=0.5"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"Fixed observation grid"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p_refined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"Refined peak I"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"Continuous-time peak"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df_scan_param[df_scan_param.γ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γ,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(p_grid, d.β, d.peak_I;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(p_refined, d.β, d.refined_peak;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(p_grid, p_refined;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540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"11-plot.png"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param-scan"/>
          <w:p>
            <w:pPr>
              <w:pStyle w:val="Compact"/>
              <w:jc w:val="center"/>
            </w:pPr>
            <w:r>
              <w:drawing>
                <wp:inline>
                  <wp:extent cx="5456428" cy="2455392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../image/11-plot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24553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Дискретные и уточнённые пики при трёх значениях γ.</w:t>
            </w:r>
          </w:p>
          <w:bookmarkEnd w:id="110"/>
        </w:tc>
      </w:tr>
    </w:tbl>
    <w:p>
      <w:pPr>
        <w:pStyle w:val="BodyText"/>
      </w:pPr>
      <w:hyperlink w:anchor="fig-param-scan">
        <w:r>
          <w:rPr>
            <w:rStyle w:val="Hyperlink"/>
          </w:rPr>
          <w:t xml:space="preserve">Рисунок 12</w:t>
        </w:r>
      </w:hyperlink>
      <w:r>
        <w:t xml:space="preserve"> </w:t>
      </w:r>
      <w:r>
        <w:t xml:space="preserve">подтверждает эффект редкой сетки наблюдений для всех</w:t>
      </w:r>
      <w:r>
        <w:t xml:space="preserve"> </w:t>
      </w:r>
      <w:r>
        <w:t xml:space="preserve">трёх γ. Правая панель согласуется с аналитическим условием S*=γ/β;</w:t>
      </w:r>
      <w:r>
        <w:t xml:space="preserve"> </w:t>
      </w:r>
      <w:r>
        <w:t xml:space="preserve">только по левой панели делать вывод о влиянии β нельзя.</w:t>
      </w:r>
    </w:p>
    <w:bookmarkEnd w:id="111"/>
    <w:bookmarkEnd w:id="112"/>
    <w:bookmarkEnd w:id="113"/>
    <w:bookmarkStart w:id="116" w:name="три-параметрические-анимации"/>
    <w:p>
      <w:pPr>
        <w:pStyle w:val="Heading2"/>
      </w:pPr>
      <w:r>
        <w:t xml:space="preserve">5.3 Три параметрические анимации</w:t>
      </w:r>
    </w:p>
    <w:p>
      <w:pPr>
        <w:pStyle w:val="FirstParagraph"/>
      </w:pPr>
      <w:r>
        <w:t xml:space="preserve">Третий вариант использует β=0,1;0,3;0,8 при γ=0,1. Каждая GIF содержит</w:t>
      </w:r>
      <w:r>
        <w:t xml:space="preserve"> </w:t>
      </w:r>
      <w:r>
        <w:t xml:space="preserve">501 кадр на сетке 0,2: всего 1503 кадра в</w:t>
      </w:r>
      <w:r>
        <w:t xml:space="preserve"> </w:t>
      </w:r>
      <w:r>
        <w:rPr>
          <w:rStyle w:val="VerbatimChar"/>
        </w:rPr>
        <w:t xml:space="preserve">02-animation.gif</w:t>
      </w:r>
      <w:r>
        <w:t xml:space="preserve">,</w:t>
      </w:r>
      <w:r>
        <w:t xml:space="preserve"> </w:t>
      </w:r>
      <w:r>
        <w:rPr>
          <w:rStyle w:val="VerbatimChar"/>
        </w:rPr>
        <w:t xml:space="preserve">03-animation.gif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04-animation.gif</w:t>
      </w:r>
      <w:r>
        <w:t xml:space="preserve">. Траектории сохранены в</w:t>
      </w:r>
      <w:r>
        <w:t xml:space="preserve"> </w:t>
      </w:r>
      <w:r>
        <w:rPr>
          <w:rStyle w:val="VerbatimChar"/>
        </w:rPr>
        <w:t xml:space="preserve">data/parameters</w:t>
      </w:r>
      <w:r>
        <w:t xml:space="preserve">, сводка — в</w:t>
      </w:r>
      <w:r>
        <w:t xml:space="preserve"> </w:t>
      </w:r>
      <w:r>
        <w:rPr>
          <w:rStyle w:val="VerbatimChar"/>
        </w:rPr>
        <w:t xml:space="preserve">sir_animation_param_summary.csv</w:t>
      </w:r>
      <w:r>
        <w:t xml:space="preserve">.</w:t>
      </w:r>
    </w:p>
    <w:bookmarkStart w:id="115" w:name="Xd4a380947e8146aa72aa481d66568538d587af7"/>
    <w:p>
      <w:pPr>
        <w:pStyle w:val="Heading3"/>
      </w:pPr>
      <w:r>
        <w:t xml:space="preserve">5.3.1 Анимации для набора коэффициентов заражения</w:t>
      </w:r>
    </w:p>
    <w:p>
      <w:pPr>
        <w:pStyle w:val="FirstParagraph"/>
      </w:pPr>
      <w:r>
        <w:t xml:space="preserve">§6.2: три самостоятельные траектории, каждую показываем на полном горизонте.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"SIRPetri.jl"</w:t>
      </w:r>
      <w:r>
        <w:rPr>
          <w:rStyle w:val="NormalTok"/>
        </w:rPr>
        <w:t xml:space="preserve">))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.SIRPetri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114" w:name="три-параметра-501-кадр-в-каждой-gif"/>
    <w:p>
      <w:pPr>
        <w:pStyle w:val="Heading4"/>
      </w:pPr>
      <w:r>
        <w:t xml:space="preserve">5.3.1.1 Три параметра, 501 кадр в каждой GIF</w:t>
      </w:r>
    </w:p>
    <w:p>
      <w:pPr>
        <w:pStyle w:val="SourceCode"/>
      </w:pPr>
      <w:r>
        <w:rPr>
          <w:rStyle w:val="NormalTok"/>
        </w:rPr>
        <w:t xml:space="preserve">animation_rows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NamedTuple</w:t>
      </w:r>
      <w:r>
        <w:rPr>
          <w:rStyle w:val="NormalTok"/>
        </w:rPr>
        <w:t xml:space="preserve">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(case_id, β)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net, u0,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build_sir_network</w:t>
      </w:r>
      <w:r>
        <w:rPr>
          <w:rStyle w:val="NormalTok"/>
        </w:rPr>
        <w:t xml:space="preserve">(β,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simulate_deterministic</w:t>
      </w:r>
      <w:r>
        <w:rPr>
          <w:rStyle w:val="NormalTok"/>
        </w:rPr>
        <w:t xml:space="preserve">(net, u0,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);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[β,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"parameters/animation_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(case_id)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, df)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(case_id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1</w:t>
      </w:r>
      <w:r>
        <w:rPr>
          <w:rStyle w:val="NormalTok"/>
        </w:rPr>
        <w:t xml:space="preserve">)</w:t>
      </w:r>
      <w:r>
        <w:rPr>
          <w:rStyle w:val="StringTok"/>
        </w:rPr>
        <w:t xml:space="preserve">-animation.gif"</w:t>
      </w:r>
      <w:r>
        <w:br/>
      </w:r>
      <w:r>
        <w:rPr>
          <w:rStyle w:val="NormalTok"/>
        </w:rPr>
        <w:t xml:space="preserve">    anim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animate_sir</w:t>
      </w:r>
      <w:r>
        <w:rPr>
          <w:rStyle w:val="NormalTok"/>
        </w:rPr>
        <w:t xml:space="preserve">(df, filename;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(β)</w:t>
      </w:r>
      <w:r>
        <w:rPr>
          <w:rStyle w:val="StringTok"/>
        </w:rPr>
        <w:t xml:space="preserve">, gamma=0.1"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(anim)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(animation_rows, (β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β, γ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frames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dt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end_time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df.time[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]))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animation_manifest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(animation_rows)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"sir_animation_param_summary.csv"</w:t>
      </w:r>
      <w:r>
        <w:rPr>
          <w:rStyle w:val="NormalTok"/>
        </w:rPr>
        <w:t xml:space="preserve">, animation_manifest)</w:t>
      </w:r>
      <w:r>
        <w:br/>
      </w:r>
      <w:r>
        <w:rPr>
          <w:rStyle w:val="NormalTok"/>
        </w:rPr>
        <w:t xml:space="preserve">animation_manifest</w:t>
      </w:r>
    </w:p>
    <w:p>
      <w:pPr>
        <w:pStyle w:val="FirstParagraph"/>
      </w:pPr>
      <w:r>
        <w:t xml:space="preserve">Различия сосредоточены в начале процесса; затем почти вся популяция</w:t>
      </w:r>
      <w:r>
        <w:t xml:space="preserve"> </w:t>
      </w:r>
      <w:r>
        <w:t xml:space="preserve">переходит в R. Глобальная шкала полезна для наблюдения выздоровления,</w:t>
      </w:r>
      <w:r>
        <w:t xml:space="preserve"> </w:t>
      </w:r>
      <w:r>
        <w:t xml:space="preserve">но ранний максимум дополнительно следует изучать по численным данным.</w:t>
      </w:r>
    </w:p>
    <w:bookmarkEnd w:id="114"/>
    <w:bookmarkEnd w:id="115"/>
    <w:bookmarkEnd w:id="116"/>
    <w:bookmarkStart w:id="126" w:name="анализ-параметрических-csv"/>
    <w:p>
      <w:pPr>
        <w:pStyle w:val="Heading2"/>
      </w:pPr>
      <w:r>
        <w:t xml:space="preserve">5.4 Анализ параметрических CSV</w:t>
      </w:r>
    </w:p>
    <w:p>
      <w:pPr>
        <w:pStyle w:val="FirstParagraph"/>
      </w:pPr>
      <w:r>
        <w:t xml:space="preserve">Последний вариант читает пять созданных таблиц, объединяет статистику SSA</w:t>
      </w:r>
      <w:r>
        <w:t xml:space="preserve"> </w:t>
      </w:r>
      <w:r>
        <w:t xml:space="preserve">и уточнённые пики ОДУ по</w:t>
      </w:r>
      <w:r>
        <w:t xml:space="preserve"> </w:t>
      </w:r>
      <w:r>
        <w:rPr>
          <w:rStyle w:val="VerbatimChar"/>
        </w:rPr>
        <w:t xml:space="preserve">case_id</w:t>
      </w:r>
      <w:r>
        <w:t xml:space="preserve">, строит средний пик SSA против ОДУ</w:t>
      </w:r>
      <w:r>
        <w:t xml:space="preserve"> </w:t>
      </w:r>
      <w:r>
        <w:t xml:space="preserve">и зависимость R(100) от β при трёх γ. Симулятор здесь не вызывается.</w:t>
      </w:r>
    </w:p>
    <w:bookmarkStart w:id="125" w:name="Xaa19b25813a52d221783d2eec572ed38eff5cdc"/>
    <w:p>
      <w:pPr>
        <w:pStyle w:val="Heading3"/>
      </w:pPr>
      <w:r>
        <w:t xml:space="preserve">5.4.1 Анализ сохранённых параметрических опытов</w:t>
      </w:r>
    </w:p>
    <w:p>
      <w:pPr>
        <w:pStyle w:val="FirstParagraph"/>
      </w:pPr>
      <w:r>
        <w:t xml:space="preserve">Здесь нет вызовов симулятора: все показатели считываются из ранее созданных CSV.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"experiment_support.jl"</w:t>
      </w:r>
      <w:r>
        <w:rPr>
          <w:rStyle w:val="NormalTok"/>
        </w:rPr>
        <w:t xml:space="preserve">))</w:t>
      </w:r>
    </w:p>
    <w:bookmarkStart w:id="117" w:name="источники-результатов"/>
    <w:p>
      <w:pPr>
        <w:pStyle w:val="Heading4"/>
      </w:pPr>
      <w:r>
        <w:t xml:space="preserve">5.4.1.1 Источники результатов</w:t>
      </w:r>
    </w:p>
    <w:p>
      <w:pPr>
        <w:pStyle w:val="SourceCode"/>
      </w:pPr>
      <w:r>
        <w:rPr>
          <w:rStyle w:val="NormalTok"/>
        </w:rPr>
        <w:t xml:space="preserve">replicates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"sir_param_replicates.csv"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deterministic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"sir_param_deterministic.csv"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scan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"sir_scan_param.csv"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animation_summary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"sir_animation_param_summary.csv"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(replicates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(replicates), combinations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(summary), scan_points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(scan),</w:t>
      </w:r>
      <w:r>
        <w:br/>
      </w:r>
      <w:r>
        <w:rPr>
          <w:rStyle w:val="NormalTok"/>
        </w:rPr>
        <w:t xml:space="preserve">    animations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(animation_summary))</w:t>
      </w:r>
    </w:p>
    <w:bookmarkEnd w:id="117"/>
    <w:bookmarkStart w:id="118" w:name="X49ae08bcada68c54a5009c612d3a1a93d8b6a92"/>
    <w:p>
      <w:pPr>
        <w:pStyle w:val="Heading4"/>
      </w:pPr>
      <w:r>
        <w:t xml:space="preserve">5.4.1.2 Сопоставление средних SSA и непрерывного пика ОДУ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innerjoin</w:t>
      </w:r>
      <w:r>
        <w:rPr>
          <w:rStyle w:val="NormalTok"/>
        </w:rPr>
        <w:t xml:space="preserve">(summary, deterministic[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case_id,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refined_peak]]; on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case_id)</w:t>
      </w:r>
      <w:r>
        <w:br/>
      </w:r>
      <w:r>
        <w:rPr>
          <w:rStyle w:val="NormalTok"/>
        </w:rPr>
        <w:t xml:space="preserve">comparison.difference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comparison.peak_mean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comparison.refined_peak</w:t>
      </w:r>
      <w:r>
        <w:br/>
      </w:r>
      <w:r>
        <w:rPr>
          <w:rStyle w:val="FunctionTok"/>
        </w:rPr>
        <w:t xml:space="preserve">save_table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"sir_param_comparison.csv"</w:t>
      </w:r>
      <w:r>
        <w:rPr>
          <w:rStyle w:val="NormalTok"/>
        </w:rPr>
        <w:t xml:space="preserve">, comparison)</w:t>
      </w:r>
      <w:r>
        <w:br/>
      </w:r>
      <w:r>
        <w:rPr>
          <w:rStyle w:val="NormalTok"/>
        </w:rPr>
        <w:t xml:space="preserve">comparison</w:t>
      </w:r>
    </w:p>
    <w:bookmarkEnd w:id="118"/>
    <w:bookmarkStart w:id="119" w:name="пик-и-конечное-число-выздоровевших"/>
    <w:p>
      <w:pPr>
        <w:pStyle w:val="Heading4"/>
      </w:pPr>
      <w:r>
        <w:t xml:space="preserve">5.4.1.3 Пик и конечное число выздоровевших</w:t>
      </w:r>
    </w:p>
    <w:p>
      <w:pPr>
        <w:pStyle w:val="SourceCode"/>
      </w:pPr>
      <w:r>
        <w:rPr>
          <w:rStyle w:val="NormalTok"/>
        </w:rPr>
        <w:t xml:space="preserve">p_peak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(comparison.refined_peak, comparison.peak_mean;</w:t>
      </w:r>
      <w:r>
        <w:br/>
      </w:r>
      <w:r>
        <w:rPr>
          <w:rStyle w:val="NormalTok"/>
        </w:rPr>
        <w:t xml:space="preserve">    yerror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comparison.peak_sd,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"Mean SSA +/- SD"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"Refined ODE peak"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"SSA peak"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"Nine parameter combinations"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extrema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vcat</w:t>
      </w:r>
      <w:r>
        <w:rPr>
          <w:rStyle w:val="NormalTok"/>
        </w:rPr>
        <w:t xml:space="preserve">(comparison.refined_peak, comparison.peak_mean))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(p_peak,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(lims), </w:t>
      </w:r>
      <w:r>
        <w:rPr>
          <w:rStyle w:val="FunctionTok"/>
        </w:rPr>
        <w:t xml:space="preserve">collect</w:t>
      </w:r>
      <w:r>
        <w:rPr>
          <w:rStyle w:val="NormalTok"/>
        </w:rPr>
        <w:t xml:space="preserve">(lims);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"Equality"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(;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"R(100)"</w:t>
      </w:r>
      <w:r>
        <w:rPr>
          <w:rStyle w:val="NormalTok"/>
        </w:rPr>
        <w:t xml:space="preserve">,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"Finite-horizon recovered population"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γ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(scan.γ))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(scan[scan.γ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γ,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],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β)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(p_final, d.β, d.final_R; marker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circle,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"gamma=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(γ)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(p_peak, p_final; layout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550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</w:t>
      </w:r>
      <w:r>
        <w:rPr>
          <w:rStyle w:val="FunctionTok"/>
        </w:rPr>
        <w:t xml:space="preserve">imagepath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"12-plot.png"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display</w:t>
      </w:r>
      <w:r>
        <w:rPr>
          <w:rStyle w:val="NormalTok"/>
        </w:rPr>
        <w:t xml:space="preserve">(p)</w:t>
      </w:r>
    </w:p>
    <w:bookmarkEnd w:id="119"/>
    <w:bookmarkStart w:id="124" w:name="показатель-воспроизводимости-данных"/>
    <w:p>
      <w:pPr>
        <w:pStyle w:val="Heading4"/>
      </w:pPr>
      <w:r>
        <w:t xml:space="preserve">5.4.1.4 Показатель воспроизводимости данных</w:t>
      </w:r>
    </w:p>
    <w:p>
      <w:pPr>
        <w:pStyle w:val="SourceCode"/>
      </w:pPr>
      <w:r>
        <w:rPr>
          <w:rStyle w:val="FunctionTok"/>
        </w:rPr>
        <w:t xml:space="preserve">DataFrame</w:t>
      </w:r>
      <w:r>
        <w:rPr>
          <w:rStyle w:val="NormalTok"/>
        </w:rPr>
        <w:t xml:space="preserve">(total_SSA_runs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(replicates)], seeds_unique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(replicates.seed))],</w:t>
      </w:r>
      <w:r>
        <w:br/>
      </w:r>
      <w:r>
        <w:rPr>
          <w:rStyle w:val="NormalTok"/>
        </w:rPr>
        <w:t xml:space="preserve">    max_conservation_error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(replicates.conservation_error)],</w:t>
      </w:r>
      <w:r>
        <w:br/>
      </w:r>
      <w:r>
        <w:rPr>
          <w:rStyle w:val="NormalTok"/>
        </w:rPr>
        <w:t xml:space="preserve">    total_animation_frames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(animation_summary.frames)])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param-analysis"/>
          <w:p>
            <w:pPr>
              <w:pStyle w:val="Compact"/>
              <w:jc w:val="center"/>
            </w:pPr>
            <w:r>
              <w:drawing>
                <wp:inline>
                  <wp:extent cx="5456428" cy="2500862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../image/12-plot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25008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Стохастические и непрерывные пики; конечные состояния параметрической серии.</w:t>
            </w:r>
          </w:p>
          <w:bookmarkEnd w:id="123"/>
        </w:tc>
      </w:tr>
    </w:tbl>
    <w:p>
      <w:pPr>
        <w:pStyle w:val="BodyText"/>
      </w:pPr>
      <w:r>
        <w:t xml:space="preserve">В параметрическом сравнении (</w:t>
      </w:r>
      <w:hyperlink w:anchor="fig-param-analysis">
        <w:r>
          <w:rPr>
            <w:rStyle w:val="Hyperlink"/>
          </w:rPr>
          <w:t xml:space="preserve">Рисунок 13</w:t>
        </w:r>
      </w:hyperlink>
      <w:r>
        <w:t xml:space="preserve">) средние SSA близки к линии равенства, но не</w:t>
      </w:r>
      <w:r>
        <w:t xml:space="preserve"> </w:t>
      </w:r>
      <w:r>
        <w:t xml:space="preserve">обязаны совпадать с пиком ОДУ: максимум — нелинейная статистика, а выборка</w:t>
      </w:r>
      <w:r>
        <w:t xml:space="preserve"> </w:t>
      </w:r>
      <w:r>
        <w:t xml:space="preserve">ограничена 20 повторами. Правая панель показывает влияние γ на R(100).</w:t>
      </w:r>
    </w:p>
    <w:bookmarkEnd w:id="124"/>
    <w:bookmarkEnd w:id="125"/>
    <w:bookmarkEnd w:id="126"/>
    <w:bookmarkEnd w:id="127"/>
    <w:bookmarkStart w:id="138" w:name="литературное-программирование-и-блокноты"/>
    <w:p>
      <w:pPr>
        <w:pStyle w:val="Heading1"/>
      </w:pPr>
      <w:r>
        <w:t xml:space="preserve">6. Литературное программирование и блокноты</w:t>
      </w:r>
    </w:p>
    <w:bookmarkStart w:id="128" w:name="производные-форматы"/>
    <w:p>
      <w:pPr>
        <w:pStyle w:val="Heading2"/>
      </w:pPr>
      <w:r>
        <w:t xml:space="preserve">6.1 Производные форматы</w:t>
      </w:r>
    </w:p>
    <w:p>
      <w:pPr>
        <w:pStyle w:val="FirstParagraph"/>
      </w:pPr>
      <w:r>
        <w:t xml:space="preserve">Восемь литературных</w:t>
      </w:r>
      <w:r>
        <w:t xml:space="preserve"> </w:t>
      </w:r>
      <w:r>
        <w:rPr>
          <w:rStyle w:val="VerbatimChar"/>
        </w:rPr>
        <w:t xml:space="preserve">.jl</w:t>
      </w:r>
      <w:r>
        <w:t xml:space="preserve"> </w:t>
      </w:r>
      <w:r>
        <w:t xml:space="preserve">содержат пояснения Literate и исполняемый код.</w:t>
      </w:r>
      <w:r>
        <w:t xml:space="preserve"> </w:t>
      </w:r>
      <w:r>
        <w:rPr>
          <w:rStyle w:val="VerbatimChar"/>
        </w:rPr>
        <w:t xml:space="preserve">scripts/tangle.jl</w:t>
      </w:r>
      <w:r>
        <w:t xml:space="preserve"> </w:t>
      </w:r>
      <w:r>
        <w:t xml:space="preserve">формирует чистый Julia-файл, QMD и IPYNB. Фрагмент</w:t>
      </w:r>
      <w:r>
        <w:t xml:space="preserve"> </w:t>
      </w:r>
      <w:r>
        <w:t xml:space="preserve">генератора ниже взят из действительного исходника.</w:t>
      </w:r>
    </w:p>
    <w:p>
      <w:pPr>
        <w:pStyle w:val="SourceCode"/>
      </w:pPr>
      <w:r>
        <w:rPr>
          <w:rStyle w:val="NormalTok"/>
        </w:rPr>
        <w:t xml:space="preserve">Literate.</w:t>
      </w:r>
      <w:r>
        <w:rPr>
          <w:rStyle w:val="FunctionTok"/>
        </w:rPr>
        <w:t xml:space="preserve">script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scriptsdir</w:t>
      </w:r>
      <w:r>
        <w:rPr>
          <w:rStyle w:val="NormalTok"/>
        </w:rPr>
        <w:t xml:space="preserve">(name); name,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notebook</w:t>
      </w:r>
      <w:r>
        <w:rPr>
          <w:rStyle w:val="NormalTok"/>
        </w:rPr>
        <w:t xml:space="preserve">(source, </w:t>
      </w:r>
      <w:r>
        <w:rPr>
          <w:rStyle w:val="FunctionTok"/>
        </w:rPr>
        <w:t xml:space="preserve">projectdir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"notebooks"</w:t>
      </w:r>
      <w:r>
        <w:rPr>
          <w:rStyle w:val="NormalTok"/>
        </w:rPr>
        <w:t xml:space="preserve">, name); name,</w:t>
      </w:r>
      <w:r>
        <w:br/>
      </w:r>
      <w:r>
        <w:rPr>
          <w:rStyle w:val="NormalTok"/>
        </w:rPr>
        <w:t xml:space="preserve">    execute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markdown</w:t>
      </w:r>
      <w:r>
        <w:rPr>
          <w:rStyle w:val="NormalTok"/>
        </w:rPr>
        <w:t xml:space="preserve">(source, dest; name,</w:t>
      </w:r>
      <w:r>
        <w:br/>
      </w:r>
      <w:r>
        <w:rPr>
          <w:rStyle w:val="NormalTok"/>
        </w:rPr>
        <w:t xml:space="preserve">    flavor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Literate.</w:t>
      </w:r>
      <w:r>
        <w:rPr>
          <w:rStyle w:val="FunctionTok"/>
        </w:rPr>
        <w:t xml:space="preserve">QuartoFlavor</w:t>
      </w:r>
      <w:r>
        <w:rPr>
          <w:rStyle w:val="NormalTok"/>
        </w:rPr>
        <w:t xml:space="preserve">(), credit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Дополнительный</w:t>
      </w:r>
      <w:r>
        <w:t xml:space="preserve"> </w:t>
      </w:r>
      <w:r>
        <w:rPr>
          <w:rStyle w:val="VerbatimChar"/>
        </w:rPr>
        <w:t xml:space="preserve">-report.qmd</w:t>
      </w:r>
      <w:r>
        <w:t xml:space="preserve"> </w:t>
      </w:r>
      <w:r>
        <w:t xml:space="preserve">имеет обычные Julia-блоки и более глубокие</w:t>
      </w:r>
      <w:r>
        <w:t xml:space="preserve"> </w:t>
      </w:r>
      <w:r>
        <w:t xml:space="preserve">заголовки. Его можно включать в отчёт без повторных вычислений при сборке.</w:t>
      </w:r>
      <w:r>
        <w:t xml:space="preserve"> </w:t>
      </w:r>
      <w:r>
        <w:t xml:space="preserve">Все восемь таких включений размещены в соответствующих разделах выше.</w:t>
      </w:r>
      <w:r>
        <w:t xml:space="preserve"> </w:t>
      </w:r>
      <w:r>
        <w:t xml:space="preserve">Листинги общего модуля и тестов дополняют эти включения, а не заменяют их.</w:t>
      </w:r>
      <w:r>
        <w:t xml:space="preserve"> </w:t>
      </w:r>
      <w:r>
        <w:t xml:space="preserve">Документация HTML собирается</w:t>
      </w:r>
      <w:r>
        <w:t xml:space="preserve"> </w:t>
      </w:r>
      <w:r>
        <w:rPr>
          <w:rStyle w:val="VerbatimChar"/>
        </w:rPr>
        <w:t xml:space="preserve">make docs</w:t>
      </w:r>
      <w:r>
        <w:t xml:space="preserve">.</w:t>
      </w:r>
    </w:p>
    <w:bookmarkEnd w:id="128"/>
    <w:bookmarkStart w:id="137" w:name="jupyter"/>
    <w:p>
      <w:pPr>
        <w:pStyle w:val="Heading2"/>
      </w:pPr>
      <w:r>
        <w:t xml:space="preserve">6.2 Jupyter</w:t>
      </w:r>
    </w:p>
    <w:p>
      <w:pPr>
        <w:pStyle w:val="SourceCode"/>
      </w:pPr>
      <w:r>
        <w:rPr>
          <w:rStyle w:val="ExtensionTok"/>
        </w:rPr>
        <w:t xml:space="preserve">jupyter</w:t>
      </w:r>
      <w:r>
        <w:rPr>
          <w:rStyle w:val="NormalTok"/>
        </w:rPr>
        <w:t xml:space="preserve"> lab</w:t>
      </w:r>
    </w:p>
    <w:p>
      <w:pPr>
        <w:pStyle w:val="FirstParagraph"/>
      </w:pPr>
      <w:r>
        <w:t xml:space="preserve">В интерфейсе открывается IPYNB из</w:t>
      </w:r>
      <w:r>
        <w:t xml:space="preserve"> </w:t>
      </w:r>
      <w:r>
        <w:rPr>
          <w:rStyle w:val="VerbatimChar"/>
        </w:rPr>
        <w:t xml:space="preserve">project/notebooks</w:t>
      </w:r>
      <w:r>
        <w:t xml:space="preserve"> </w:t>
      </w:r>
      <w:r>
        <w:t xml:space="preserve">с ядром Julia lab06.</w:t>
      </w:r>
      <w:r>
        <w:t xml:space="preserve"> </w:t>
      </w:r>
      <w:r>
        <w:t xml:space="preserve">Последовательно выполняются ячейки настройки, расчёта, таблиц и графиков.</w:t>
      </w:r>
      <w:r>
        <w:t xml:space="preserve"> </w:t>
      </w:r>
      <w:r>
        <w:t xml:space="preserve">Все восемь сохранённых блокнотов содержат счётчики выполнения и выводы</w:t>
      </w:r>
      <w:r>
        <w:t xml:space="preserve"> </w:t>
      </w:r>
      <w:r>
        <w:t xml:space="preserve">без ошибок; анимационные блокноты содержат GIF.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jupyter-star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../image/01-jupyter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Ядро Julia, исходные параметры и матрица изменений сети в выполненном блокноте.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jupyter-result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../image/02-jupyter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Сводная таблица базового опыта и построение графиков в Jupyter.</w:t>
            </w:r>
          </w:p>
          <w:bookmarkEnd w:id="136"/>
        </w:tc>
      </w:tr>
    </w:tbl>
    <w:p>
      <w:pPr>
        <w:pStyle w:val="BodyText"/>
      </w:pPr>
      <w:r>
        <w:t xml:space="preserve">Снимки</w:t>
      </w:r>
      <w:r>
        <w:t xml:space="preserve"> </w:t>
      </w:r>
      <w:hyperlink w:anchor="fig-jupyter-start">
        <w:r>
          <w:rPr>
            <w:rStyle w:val="Hyperlink"/>
          </w:rPr>
          <w:t xml:space="preserve">Рисунок 14</w:t>
        </w:r>
      </w:hyperlink>
      <w:r>
        <w:t xml:space="preserve"> </w:t>
      </w:r>
      <w:r>
        <w:t xml:space="preserve">и</w:t>
      </w:r>
      <w:r>
        <w:t xml:space="preserve"> </w:t>
      </w:r>
      <w:hyperlink w:anchor="fig-jupyter-result">
        <w:r>
          <w:rPr>
            <w:rStyle w:val="Hyperlink"/>
          </w:rPr>
          <w:t xml:space="preserve">Рисунок 15</w:t>
        </w:r>
      </w:hyperlink>
      <w:r>
        <w:t xml:space="preserve"> </w:t>
      </w:r>
      <w:r>
        <w:t xml:space="preserve">показывают код вместе</w:t>
      </w:r>
      <w:r>
        <w:t xml:space="preserve"> </w:t>
      </w:r>
      <w:r>
        <w:t xml:space="preserve">со счётчиками выполнения и фактическим выводом ячеек.</w:t>
      </w:r>
    </w:p>
    <w:bookmarkEnd w:id="137"/>
    <w:bookmarkEnd w:id="138"/>
    <w:bookmarkStart w:id="145" w:name="проверки-и-ограничения"/>
    <w:p>
      <w:pPr>
        <w:pStyle w:val="Heading1"/>
      </w:pPr>
      <w:r>
        <w:t xml:space="preserve">7. Проверки и ограничения</w:t>
      </w:r>
    </w:p>
    <w:bookmarkStart w:id="143" w:name="структурные-и-численные-тесты"/>
    <w:p>
      <w:pPr>
        <w:pStyle w:val="Heading2"/>
      </w:pPr>
      <w:r>
        <w:t xml:space="preserve">7.1 Структурные и численные тесты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test/runtests.jl</w:t>
      </w:r>
      <w:r>
        <w:t xml:space="preserve"> </w:t>
      </w:r>
      <w:r>
        <w:t xml:space="preserve">пройдены 42 проверки: структура и интенсивности — 7,</w:t>
      </w:r>
      <w:r>
        <w:t xml:space="preserve"> </w:t>
      </w:r>
      <w:r>
        <w:t xml:space="preserve">ОДУ — 11, SSA — 14, сохранённые результаты — 10. Проверены сохранение N,</w:t>
      </w:r>
      <w:r>
        <w:t xml:space="preserve"> </w:t>
      </w:r>
      <w:r>
        <w:t xml:space="preserve">неотрицательность с численным допуском для ОДУ, аналитический пик,</w:t>
      </w:r>
      <w:r>
        <w:t xml:space="preserve"> </w:t>
      </w:r>
      <w:r>
        <w:t xml:space="preserve">целочисленность SSA, допустимые события, seed и конечный горизонт.</w:t>
      </w:r>
    </w:p>
    <w:p>
      <w:pPr>
        <w:pStyle w:val="SourceCode"/>
      </w:pP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stoichiometry</w:t>
      </w:r>
      <w:r>
        <w:rPr>
          <w:rStyle w:val="NormalTok"/>
        </w:rPr>
        <w:t xml:space="preserve">(net)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;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</w:t>
      </w:r>
      <w:r>
        <w:rPr>
          <w:rStyle w:val="FloatTok"/>
        </w:rPr>
        <w:t xml:space="preserve">0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stoichiometry</w:t>
      </w:r>
      <w:r>
        <w:rPr>
          <w:rStyle w:val="NormalTok"/>
        </w:rPr>
        <w:t xml:space="preserve">(net); dims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zeros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.(df.S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df.I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df.R </w:t>
      </w:r>
      <w:r>
        <w:rPr>
          <w:rStyle w:val="OperatorTok"/>
        </w:rPr>
        <w:t xml:space="preserve">.-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isapprox</w:t>
      </w:r>
      <w:r>
        <w:rPr>
          <w:rStyle w:val="NormalTok"/>
        </w:rPr>
        <w:t xml:space="preserve">(peak.peak, peak.analytic; atol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1e-5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(a.S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a.I </w:t>
      </w:r>
      <w:r>
        <w:rPr>
          <w:rStyle w:val="OperatorTok"/>
        </w:rPr>
        <w:t xml:space="preserve">.+</w:t>
      </w:r>
      <w:r>
        <w:rPr>
          <w:rStyle w:val="NormalTok"/>
        </w:rPr>
        <w:t xml:space="preserve"> a.R </w:t>
      </w:r>
      <w:r>
        <w:rPr>
          <w:rStyle w:val="OperatorTok"/>
        </w:rPr>
        <w:t xml:space="preserve">.==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(a.time)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a.time[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(runs)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180</w:t>
      </w:r>
      <w:r>
        <w:br/>
      </w:r>
      <w:r>
        <w:rPr>
          <w:rStyle w:val="PreprocessorTok"/>
        </w:rPr>
        <w:t xml:space="preserve">@test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(runs.seed))</w:t>
      </w:r>
      <w:r>
        <w:rPr>
          <w:rStyle w:val="OperatorTok"/>
        </w:rPr>
        <w:t xml:space="preserve">==</w:t>
      </w:r>
      <w:r>
        <w:rPr>
          <w:rStyle w:val="FloatTok"/>
        </w:rPr>
        <w:t xml:space="preserve">180</w:t>
      </w:r>
    </w:p>
    <w:p>
      <w:pPr>
        <w:pStyle w:val="FirstParagraph"/>
      </w:pPr>
      <w:r>
        <w:t xml:space="preserve">Это фрагменты реальных проверок из</w:t>
      </w:r>
      <w:r>
        <w:t xml:space="preserve"> </w:t>
      </w:r>
      <w:r>
        <w:rPr>
          <w:rStyle w:val="VerbatimChar"/>
        </w:rPr>
        <w:t xml:space="preserve">project/test/runtests.jl</w:t>
      </w:r>
      <w:r>
        <w:t xml:space="preserve">;</w:t>
      </w:r>
      <w:r>
        <w:t xml:space="preserve"> </w:t>
      </w:r>
      <w:r>
        <w:t xml:space="preserve">инициализация переменных находится в полном файле. Тесты дополняют</w:t>
      </w:r>
      <w:r>
        <w:t xml:space="preserve"> </w:t>
      </w:r>
      <w:r>
        <w:t xml:space="preserve">содержательную сверку задания, но сами по себе не доказывают его полноту.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fig-tests"/>
          <w:p>
            <w:pPr>
              <w:pStyle w:val="Compact"/>
              <w:jc w:val="center"/>
            </w:pPr>
            <w:r>
              <w:drawing>
                <wp:inline>
                  <wp:extent cx="5456428" cy="306924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../image/02-terminal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56428" cy="30692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Результаты запуска набора структурных и численных тестов.</w:t>
            </w:r>
          </w:p>
          <w:bookmarkEnd w:id="142"/>
        </w:tc>
      </w:tr>
    </w:tbl>
    <w:p>
      <w:pPr>
        <w:pStyle w:val="BodyText"/>
      </w:pPr>
      <w:r>
        <w:t xml:space="preserve">Штатный вывод</w:t>
      </w:r>
      <w:r>
        <w:t xml:space="preserve"> </w:t>
      </w:r>
      <w:r>
        <w:rPr>
          <w:rStyle w:val="VerbatimChar"/>
        </w:rPr>
        <w:t xml:space="preserve">make test</w:t>
      </w:r>
      <w:r>
        <w:t xml:space="preserve"> </w:t>
      </w:r>
      <w:r>
        <w:t xml:space="preserve">(</w:t>
      </w:r>
      <w:hyperlink w:anchor="fig-tests">
        <w:r>
          <w:rPr>
            <w:rStyle w:val="Hyperlink"/>
          </w:rPr>
          <w:t xml:space="preserve">Рисунок 16</w:t>
        </w:r>
      </w:hyperlink>
      <w:r>
        <w:t xml:space="preserve">) подтверждает прохождение 42 проверок.</w:t>
      </w:r>
    </w:p>
    <w:bookmarkEnd w:id="143"/>
    <w:bookmarkStart w:id="144" w:name="ограничения"/>
    <w:p>
      <w:pPr>
        <w:pStyle w:val="Heading2"/>
      </w:pPr>
      <w:r>
        <w:t xml:space="preserve">7.2 Ограничения</w:t>
      </w:r>
    </w:p>
    <w:p>
      <w:pPr>
        <w:pStyle w:val="FirstParagraph"/>
      </w:pPr>
      <w:r>
        <w:t xml:space="preserve">Модель предполагает однородное перемешивание и постоянные коэффициенты.</w:t>
      </w:r>
      <w:r>
        <w:t xml:space="preserve"> </w:t>
      </w:r>
      <w:r>
        <w:t xml:space="preserve">Время условно; параметры не оценивались по медицинским данным. Сильная</w:t>
      </w:r>
      <w:r>
        <w:t xml:space="preserve"> </w:t>
      </w:r>
      <w:r>
        <w:t xml:space="preserve">начальная вспышка обусловлена ненормированным βSI и не является прогнозом.</w:t>
      </w:r>
      <w:r>
        <w:t xml:space="preserve"> </w:t>
      </w:r>
      <w:r>
        <w:t xml:space="preserve">Шаг сохранения отличается от адаптивного шага Tsit5 и может скрывать</w:t>
      </w:r>
      <w:r>
        <w:t xml:space="preserve"> </w:t>
      </w:r>
      <w:r>
        <w:t xml:space="preserve">экстремумы даже при точном решении. Двадцать повторов не дают оснований</w:t>
      </w:r>
      <w:r>
        <w:t xml:space="preserve"> </w:t>
      </w:r>
      <w:r>
        <w:t xml:space="preserve">утверждать универсальное совпадение SSA и ОДУ или отсутствие редких исходов.</w:t>
      </w:r>
    </w:p>
    <w:bookmarkEnd w:id="144"/>
    <w:bookmarkEnd w:id="145"/>
    <w:bookmarkStart w:id="146" w:name="выводы"/>
    <w:p>
      <w:pPr>
        <w:pStyle w:val="Heading1"/>
      </w:pPr>
      <w:r>
        <w:t xml:space="preserve">8. Выводы</w:t>
      </w:r>
    </w:p>
    <w:p>
      <w:pPr>
        <w:pStyle w:val="FirstParagraph"/>
      </w:pPr>
      <w:r>
        <w:t xml:space="preserve">Построена сеть AlgebraicPetri с тремя позициями и двумя переходами. Из одной</w:t>
      </w:r>
      <w:r>
        <w:t xml:space="preserve"> </w:t>
      </w:r>
      <w:r>
        <w:t xml:space="preserve">структуры получены ОДУ, стехиометрические изменения и интенсивности SSA.</w:t>
      </w:r>
      <w:r>
        <w:t xml:space="preserve"> </w:t>
      </w:r>
      <w:r>
        <w:t xml:space="preserve">Оба исполнения сохраняют N=1000, событийное — целочисленные маркировки.</w:t>
      </w:r>
    </w:p>
    <w:p>
      <w:pPr>
        <w:pStyle w:val="BodyText"/>
      </w:pPr>
      <w:r>
        <w:t xml:space="preserve">Выполнены четыре основных сценария и четыре параметрических варианта:</w:t>
      </w:r>
      <w:r>
        <w:t xml:space="preserve"> </w:t>
      </w:r>
      <w:r>
        <w:t xml:space="preserve">траектории, сканирование, анимация и отдельный анализ CSV. Расширение</w:t>
      </w:r>
      <w:r>
        <w:t xml:space="preserve"> </w:t>
      </w:r>
      <w:r>
        <w:t xml:space="preserve">включает 180 SSA, 45 точек двухпараметрической сетки и три дополнительные</w:t>
      </w:r>
      <w:r>
        <w:t xml:space="preserve"> </w:t>
      </w:r>
      <w:r>
        <w:t xml:space="preserve">анимации. Производные JL/QMD/IPYNB созданы для каждого сценария;</w:t>
      </w:r>
      <w:r>
        <w:t xml:space="preserve"> </w:t>
      </w:r>
      <w:r>
        <w:t xml:space="preserve">документация интегрирована в тематические разделы отчёта.</w:t>
      </w:r>
    </w:p>
    <w:p>
      <w:pPr>
        <w:pStyle w:val="BodyText"/>
      </w:pPr>
      <w:r>
        <w:t xml:space="preserve">Главный результат — необходимость отличать динамику модели от сетки</w:t>
      </w:r>
      <w:r>
        <w:t xml:space="preserve"> </w:t>
      </w:r>
      <w:r>
        <w:t xml:space="preserve">наблюдений. Пик ОДУ около 997 достигается до t=0,05 и пропускается</w:t>
      </w:r>
      <w:r>
        <w:t xml:space="preserve"> </w:t>
      </w:r>
      <w:r>
        <w:t xml:space="preserve">шагом 0,5. Противоречия примера исправлены явно: закон βSI сохранён,</w:t>
      </w:r>
      <w:r>
        <w:t xml:space="preserve"> </w:t>
      </w:r>
      <w:r>
        <w:t xml:space="preserve">времена SSA согласованы, а анимация реализует текстовое требование практикума.</w:t>
      </w:r>
    </w:p>
    <w:bookmarkEnd w:id="146"/>
    <w:bookmarkStart w:id="147" w:name="источники"/>
    <w:p>
      <w:pPr>
        <w:pStyle w:val="Heading1"/>
      </w:pPr>
      <w:r>
        <w:t xml:space="preserve">9. Источники</w:t>
      </w:r>
    </w:p>
    <w:p>
      <w:pPr>
        <w:pStyle w:val="Compact"/>
        <w:numPr>
          <w:ilvl w:val="0"/>
          <w:numId w:val="1002"/>
        </w:numPr>
      </w:pPr>
      <w:r>
        <w:t xml:space="preserve">Королькова А. В., Кулябов Д. С. Имитационное моделирование. Практикум.</w:t>
      </w:r>
      <w:r>
        <w:t xml:space="preserve"> </w:t>
      </w:r>
      <w:r>
        <w:t xml:space="preserve">Глава 6 «Реализация основных моделей в подходе сетей Петри», стр. 191–207.</w:t>
      </w:r>
      <w:r>
        <w:t xml:space="preserve"> </w:t>
      </w:r>
      <w:r>
        <w:t xml:space="preserve">Редакция PDF от 22.05.2026.</w:t>
      </w:r>
    </w:p>
    <w:p>
      <w:pPr>
        <w:pStyle w:val="Compact"/>
        <w:numPr>
          <w:ilvl w:val="0"/>
          <w:numId w:val="1002"/>
        </w:numPr>
      </w:pPr>
      <w:r>
        <w:t xml:space="preserve">Исходный код AlgebraicPetri 0.8.11 и Catlab 0.14.17 в закреплённом</w:t>
      </w:r>
      <w:r>
        <w:t xml:space="preserve"> </w:t>
      </w:r>
      <w:r>
        <w:t xml:space="preserve">окружении: LabelledPetriNet, vectorfield, Graphviz.Graph.</w:t>
      </w:r>
    </w:p>
    <w:p>
      <w:pPr>
        <w:pStyle w:val="Compact"/>
        <w:numPr>
          <w:ilvl w:val="0"/>
          <w:numId w:val="1002"/>
        </w:numPr>
      </w:pPr>
      <w:r>
        <w:t xml:space="preserve">Исходный код и результаты работы:</w:t>
      </w:r>
      <w:r>
        <w:t xml:space="preserve"> </w:t>
      </w:r>
      <w:r>
        <w:rPr>
          <w:rStyle w:val="VerbatimChar"/>
        </w:rPr>
        <w:t xml:space="preserve">project/src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project/notebooks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project/test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project/Manifest.toml</w:t>
      </w:r>
      <w:r>
        <w:t xml:space="preserve">: точные версии вычислительной среды.</w:t>
      </w:r>
    </w:p>
    <w:bookmarkEnd w:id="147"/>
    <w:sectPr>
      <w:footerReference r:id="rId9" w:type="default"/>
      <w:footerReference r:id="rId11" w:type="first"/>
      <w:footnotePr>
        <w:numRestart w:val="eachSect"/>
      </w:footnotePr>
      <w:pgSz w:h="16838" w:w="11906"/>
      <w:pgMar w:bottom="1134" w:footer="680" w:header="567" w:left="1701" w:right="850" w:top="113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172530"/>
        <w:sz w:val="2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60" w:lineRule="auto"/>
      <w:ind w:firstLine="709"/>
      <w:jc w:val="both"/>
    </w:pPr>
    <w:rPr>
      <w:rFonts w:ascii="Times New Roman" w:hAnsi="Times New Roman"/>
      <w:color w:val="172530"/>
      <w:sz w:val="24"/>
    </w:rPr>
  </w:style>
  <w:style w:styleId="BodyText" w:type="paragraph">
    <w:name w:val="Body Text"/>
    <w:basedOn w:val="Normal"/>
    <w:link w:val="BodyTextChar"/>
    <w:qFormat/>
    <w:pPr>
      <w:spacing w:after="120" w:before="18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20" w:line="360" w:lineRule="auto"/>
      <w:jc w:val="both"/>
    </w:pPr>
    <w:rPr>
      <w:rFonts w:ascii="Times New Roman" w:hAnsi="Times New Roman"/>
      <w:color w:val="172530"/>
      <w:sz w:val="24"/>
    </w:rPr>
  </w:style>
  <w:style w:customStyle="1" w:styleId="Compact" w:type="paragraph">
    <w:name w:val="Compact"/>
    <w:basedOn w:val="BodyText"/>
    <w:qFormat/>
    <w:pPr>
      <w:keepNext/>
      <w:spacing w:after="120" w:before="36" w:line="360" w:lineRule="auto"/>
      <w:ind w:firstLine="0"/>
      <w:jc w:val="both"/>
    </w:pPr>
    <w:rPr>
      <w:rFonts w:ascii="Times New Roman" w:hAnsi="Times New Roman"/>
      <w:color w:val="172530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20" w:before="100" w:line="360" w:lineRule="auto"/>
      <w:jc w:val="both"/>
    </w:pPr>
    <w:rPr>
      <w:rFonts w:ascii="Times New Roman" w:hAnsi="Times New Roman"/>
      <w:color w:val="172530"/>
      <w:sz w:val="24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6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val="125B7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120" w:before="280"/>
      <w:outlineLvl w:val="1"/>
    </w:pPr>
    <w:rPr>
      <w:rFonts w:ascii="Times New Roman" w:asciiTheme="majorHAnsi" w:cstheme="majorBidi" w:eastAsiaTheme="majorEastAsia" w:hAnsi="Times New Roman" w:hAnsiTheme="majorHAnsi"/>
      <w:b/>
      <w:color w:val="125B7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200"/>
      <w:outlineLvl w:val="2"/>
    </w:pPr>
    <w:rPr>
      <w:rFonts w:ascii="Times New Roman" w:cstheme="majorBidi" w:eastAsiaTheme="majorEastAsia" w:hAnsi="Times New Roman"/>
      <w:b/>
      <w:color w:val="125B7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ImageCaption" w:type="paragraph">
    <w:name w:val="Image Caption"/>
    <w:basedOn w:val="Caption"/>
    <w:pPr>
      <w:spacing w:after="180"/>
      <w:jc w:val="center"/>
    </w:pPr>
    <w:rPr>
      <w:rFonts w:ascii="Times New Roman" w:hAnsi="Times New Roman"/>
      <w:i/>
      <w:color w:val="172530"/>
      <w:sz w:val="20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keepNext w:val="0"/>
      <w:shd w:fill="f1f3f5" w:val="clear"/>
      <w:spacing w:after="160" w:line="240" w:lineRule="auto"/>
      <w:ind w:firstLine="0"/>
      <w:jc w:val="left"/>
    </w:pPr>
    <w:rPr>
      <w:rFonts w:ascii="DejaVu Sans Mono" w:hAnsi="DejaVu Sans Mono"/>
      <w:sz w:val="18"/>
    </w:rPr>
  </w:style>
  <w:style w:customStyle="1" w:styleId="KeywordTok" w:type="character">
    <w:name w:val="KeywordTok"/>
    <w:basedOn w:val="VerbatimChar"/>
    <w:rPr>
      <w:b/>
      <w:color w:val="003b4f"/>
      <w:shd w:fill="f1f3f5" w:val="clear"/>
    </w:rPr>
  </w:style>
  <w:style w:customStyle="1" w:styleId="DataTypeTok" w:type="character">
    <w:name w:val="DataTypeTok"/>
    <w:basedOn w:val="VerbatimChar"/>
    <w:rPr>
      <w:color w:val="ad0000"/>
      <w:shd w:fill="f1f3f5" w:val="clear"/>
    </w:rPr>
  </w:style>
  <w:style w:customStyle="1" w:styleId="DecValTok" w:type="character">
    <w:name w:val="DecValTok"/>
    <w:basedOn w:val="VerbatimChar"/>
    <w:rPr>
      <w:color w:val="ad0000"/>
      <w:shd w:fill="f1f3f5" w:val="clear"/>
    </w:rPr>
  </w:style>
  <w:style w:customStyle="1" w:styleId="BaseNTok" w:type="character">
    <w:name w:val="BaseNTok"/>
    <w:basedOn w:val="VerbatimChar"/>
    <w:rPr>
      <w:color w:val="ad0000"/>
      <w:shd w:fill="f1f3f5" w:val="clear"/>
    </w:rPr>
  </w:style>
  <w:style w:customStyle="1" w:styleId="FloatTok" w:type="character">
    <w:name w:val="FloatTok"/>
    <w:basedOn w:val="VerbatimChar"/>
    <w:rPr>
      <w:color w:val="ad0000"/>
      <w:shd w:fill="f1f3f5" w:val="clear"/>
    </w:rPr>
  </w:style>
  <w:style w:customStyle="1" w:styleId="ConstantTok" w:type="character">
    <w:name w:val="ConstantTok"/>
    <w:basedOn w:val="VerbatimChar"/>
    <w:rPr>
      <w:color w:val="8f5902"/>
      <w:shd w:fill="f1f3f5" w:val="clear"/>
    </w:rPr>
  </w:style>
  <w:style w:customStyle="1" w:styleId="CharTok" w:type="character">
    <w:name w:val="CharTok"/>
    <w:basedOn w:val="VerbatimChar"/>
    <w:rPr>
      <w:color w:val="20794d"/>
      <w:shd w:fill="f1f3f5" w:val="clear"/>
    </w:rPr>
  </w:style>
  <w:style w:customStyle="1" w:styleId="SpecialCharTok" w:type="character">
    <w:name w:val="SpecialCharTok"/>
    <w:basedOn w:val="VerbatimChar"/>
    <w:rPr>
      <w:color w:val="5e5e5e"/>
      <w:shd w:fill="f1f3f5" w:val="clear"/>
    </w:rPr>
  </w:style>
  <w:style w:customStyle="1" w:styleId="StringTok" w:type="character">
    <w:name w:val="StringTok"/>
    <w:basedOn w:val="VerbatimChar"/>
    <w:rPr>
      <w:color w:val="20794d"/>
      <w:shd w:fill="f1f3f5" w:val="clear"/>
    </w:rPr>
  </w:style>
  <w:style w:customStyle="1" w:styleId="VerbatimStringTok" w:type="character">
    <w:name w:val="VerbatimStringTok"/>
    <w:basedOn w:val="VerbatimChar"/>
    <w:rPr>
      <w:color w:val="20794d"/>
      <w:shd w:fill="f1f3f5" w:val="clear"/>
    </w:rPr>
  </w:style>
  <w:style w:customStyle="1" w:styleId="SpecialStringTok" w:type="character">
    <w:name w:val="SpecialStringTok"/>
    <w:basedOn w:val="VerbatimChar"/>
    <w:rPr>
      <w:color w:val="20794d"/>
      <w:shd w:fill="f1f3f5" w:val="clear"/>
    </w:rPr>
  </w:style>
  <w:style w:customStyle="1" w:styleId="ImportTok" w:type="character">
    <w:name w:val="ImportTok"/>
    <w:basedOn w:val="VerbatimChar"/>
    <w:rPr>
      <w:color w:val="00769e"/>
      <w:shd w:fill="f1f3f5" w:val="clear"/>
    </w:rPr>
  </w:style>
  <w:style w:customStyle="1" w:styleId="CommentTok" w:type="character">
    <w:name w:val="CommentTok"/>
    <w:basedOn w:val="VerbatimChar"/>
    <w:rPr>
      <w:color w:val="5e5e5e"/>
      <w:shd w:fill="f1f3f5" w:val="clear"/>
    </w:rPr>
  </w:style>
  <w:style w:customStyle="1" w:styleId="DocumentationTok" w:type="character">
    <w:name w:val="DocumentationTok"/>
    <w:basedOn w:val="VerbatimChar"/>
    <w:rPr>
      <w:i/>
      <w:color w:val="5e5e5e"/>
      <w:shd w:fill="f1f3f5" w:val="clear"/>
    </w:rPr>
  </w:style>
  <w:style w:customStyle="1" w:styleId="AnnotationTok" w:type="character">
    <w:name w:val="AnnotationTok"/>
    <w:basedOn w:val="VerbatimChar"/>
    <w:rPr>
      <w:color w:val="5e5e5e"/>
      <w:shd w:fill="f1f3f5" w:val="clear"/>
    </w:rPr>
  </w:style>
  <w:style w:customStyle="1" w:styleId="CommentVarTok" w:type="character">
    <w:name w:val="CommentVarTok"/>
    <w:basedOn w:val="VerbatimChar"/>
    <w:rPr>
      <w:i/>
      <w:color w:val="5e5e5e"/>
      <w:shd w:fill="f1f3f5" w:val="clear"/>
    </w:rPr>
  </w:style>
  <w:style w:customStyle="1" w:styleId="OtherTok" w:type="character">
    <w:name w:val="OtherTok"/>
    <w:basedOn w:val="VerbatimChar"/>
    <w:rPr>
      <w:color w:val="003b4f"/>
      <w:shd w:fill="f1f3f5" w:val="clear"/>
    </w:rPr>
  </w:style>
  <w:style w:customStyle="1" w:styleId="FunctionTok" w:type="character">
    <w:name w:val="FunctionTok"/>
    <w:basedOn w:val="VerbatimChar"/>
    <w:rPr>
      <w:color w:val="4758ab"/>
      <w:shd w:fill="f1f3f5" w:val="clear"/>
    </w:rPr>
  </w:style>
  <w:style w:customStyle="1" w:styleId="VariableTok" w:type="character">
    <w:name w:val="VariableTok"/>
    <w:basedOn w:val="VerbatimChar"/>
    <w:rPr>
      <w:color w:val="111111"/>
      <w:shd w:fill="f1f3f5" w:val="clear"/>
    </w:rPr>
  </w:style>
  <w:style w:customStyle="1" w:styleId="ControlFlowTok" w:type="character">
    <w:name w:val="ControlFlowTok"/>
    <w:basedOn w:val="VerbatimChar"/>
    <w:rPr>
      <w:b/>
      <w:color w:val="003b4f"/>
      <w:shd w:fill="f1f3f5" w:val="clear"/>
    </w:rPr>
  </w:style>
  <w:style w:customStyle="1" w:styleId="OperatorTok" w:type="character">
    <w:name w:val="OperatorTok"/>
    <w:basedOn w:val="VerbatimChar"/>
    <w:rPr>
      <w:color w:val="5e5e5e"/>
      <w:shd w:fill="f1f3f5" w:val="clear"/>
    </w:rPr>
  </w:style>
  <w:style w:customStyle="1" w:styleId="BuiltInTok" w:type="character">
    <w:name w:val="BuiltInTok"/>
    <w:basedOn w:val="VerbatimChar"/>
    <w:rPr>
      <w:color w:val="003b4f"/>
      <w:shd w:fill="f1f3f5" w:val="clear"/>
    </w:rPr>
  </w:style>
  <w:style w:customStyle="1" w:styleId="ExtensionTok" w:type="character">
    <w:name w:val="ExtensionTok"/>
    <w:basedOn w:val="VerbatimChar"/>
    <w:rPr>
      <w:color w:val="003b4f"/>
      <w:shd w:fill="f1f3f5" w:val="clear"/>
    </w:rPr>
  </w:style>
  <w:style w:customStyle="1" w:styleId="PreprocessorTok" w:type="character">
    <w:name w:val="PreprocessorTok"/>
    <w:basedOn w:val="VerbatimChar"/>
    <w:rPr>
      <w:color w:val="ad0000"/>
      <w:shd w:fill="f1f3f5" w:val="clear"/>
    </w:rPr>
  </w:style>
  <w:style w:customStyle="1" w:styleId="AttributeTok" w:type="character">
    <w:name w:val="AttributeTok"/>
    <w:basedOn w:val="VerbatimChar"/>
    <w:rPr>
      <w:color w:val="657422"/>
      <w:shd w:fill="f1f3f5" w:val="clear"/>
    </w:rPr>
  </w:style>
  <w:style w:customStyle="1" w:styleId="RegionMarkerTok" w:type="character">
    <w:name w:val="RegionMarkerTok"/>
    <w:basedOn w:val="VerbatimChar"/>
    <w:rPr>
      <w:color w:val="003b4f"/>
      <w:shd w:fill="f1f3f5" w:val="clear"/>
    </w:rPr>
  </w:style>
  <w:style w:customStyle="1" w:styleId="InformationTok" w:type="character">
    <w:name w:val="InformationTok"/>
    <w:basedOn w:val="VerbatimChar"/>
    <w:rPr>
      <w:color w:val="5e5e5e"/>
      <w:shd w:fill="f1f3f5" w:val="clear"/>
    </w:rPr>
  </w:style>
  <w:style w:customStyle="1" w:styleId="WarningTok" w:type="character">
    <w:name w:val="WarningTok"/>
    <w:basedOn w:val="VerbatimChar"/>
    <w:rPr>
      <w:i/>
      <w:color w:val="5e5e5e"/>
      <w:shd w:fill="f1f3f5" w:val="clear"/>
    </w:rPr>
  </w:style>
  <w:style w:customStyle="1" w:styleId="AlertTok" w:type="character">
    <w:name w:val="AlertTok"/>
    <w:basedOn w:val="VerbatimChar"/>
    <w:rPr>
      <w:color w:val="ad0000"/>
      <w:shd w:fill="f1f3f5" w:val="clear"/>
    </w:rPr>
  </w:style>
  <w:style w:customStyle="1" w:styleId="ErrorTok" w:type="character">
    <w:name w:val="ErrorTok"/>
    <w:basedOn w:val="VerbatimChar"/>
    <w:rPr>
      <w:color w:val="ad0000"/>
      <w:shd w:fill="f1f3f5" w:val="clear"/>
    </w:rPr>
  </w:style>
  <w:style w:customStyle="1" w:styleId="NormalTok" w:type="character">
    <w:name w:val="NormalTok"/>
    <w:basedOn w:val="VerbatimChar"/>
    <w:rPr>
      <w:color w:val="003b4f"/>
      <w:shd w:fill="f1f3f5" w:val="clear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footer1.xml" Type="http://schemas.openxmlformats.org/officeDocument/2006/relationships/footer" /><Relationship Id="rId11" Target="footer2.xml" Type="http://schemas.openxmlformats.org/officeDocument/2006/relationships/footer" /><Relationship Type="http://schemas.openxmlformats.org/officeDocument/2006/relationships/image" Id="rId129" Target="media/rId129.png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133" Target="media/rId133.png" /><Relationship Type="http://schemas.openxmlformats.org/officeDocument/2006/relationships/image" Id="rId43" Target="media/rId43.png" /><Relationship Type="http://schemas.openxmlformats.org/officeDocument/2006/relationships/image" Id="rId139" Target="media/rId139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74" Target="media/rId74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8" Target="media/rId98.png" /><Relationship Type="http://schemas.openxmlformats.org/officeDocument/2006/relationships/image" Id="rId107" Target="media/rId107.png" /><Relationship Type="http://schemas.openxmlformats.org/officeDocument/2006/relationships/image" Id="rId120" Target="media/rId1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ru-RU</dc:language>
  <cp:keywords/>
  <dcterms:created xsi:type="dcterms:W3CDTF">2026-08-31T16:46:23Z</dcterms:created>
  <dcterms:modified xsi:type="dcterms:W3CDTF">2026-08-31T16:46:23Z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Куокконен Дарина Андреевна</vt:lpwstr>
  </property>
  <property fmtid="{D5CDD505-2E9C-101B-9397-08002B2CF9AE}" pid="3" name="biblio-config">
    <vt:lpwstr>True</vt:lpwstr>
  </property>
  <property fmtid="{D5CDD505-2E9C-101B-9397-08002B2CF9AE}" pid="4" name="crossref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itle-meta">
    <vt:lpwstr>Лабораторная работа № 6. SIR и сети Петри</vt:lpwstr>
  </property>
  <property fmtid="{D5CDD505-2E9C-101B-9397-08002B2CF9AE}" pid="10" name="toc-title">
    <vt:lpwstr>Содержание</vt:lpwstr>
  </property>
</Properties>
</file>