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0.png" ContentType="image/png"/>
  <Override PartName="/word/media/rId10.png" ContentType="image/png"/>
  <Override PartName="/word/media/rId112.png" ContentType="image/png"/>
  <Override PartName="/word/media/rId54.png" ContentType="image/png"/>
  <Override PartName="/word/media/rId14.png" ContentType="image/png"/>
  <Override PartName="/word/media/rId58.png" ContentType="image/png"/>
  <Override PartName="/word/media/rId31.png" ContentType="image/png"/>
  <Override PartName="/word/media/rId116.png" ContentType="image/png"/>
  <Override PartName="/word/media/rId62.png" ContentType="image/png"/>
  <Override PartName="/word/media/rId36.png" ContentType="image/png"/>
  <Override PartName="/word/media/rId68.png" ContentType="image/png"/>
  <Override PartName="/word/media/rId40.png" ContentType="image/png"/>
  <Override PartName="/word/media/rId79.png" ContentType="image/png"/>
  <Override PartName="/word/media/rId46.png" ContentType="image/png"/>
  <Override PartName="/word/media/rId83.png" ContentType="image/png"/>
  <Override PartName="/word/media/rId75.png" ContentType="image/png"/>
  <Override PartName="/word/media/rId88.png" ContentType="image/png"/>
  <Override PartName="/word/media/rId100.png" ContentType="image/png"/>
  <Override PartName="/word/media/rId94.png" ContentType="image/png"/>
  <Override PartName="/word/media/rId104.png" ContentType="image/png"/>
  <Override PartName="/word/media/rId121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2</w:t>
      </w:r>
    </w:p>
    <w:p>
      <w:pPr>
        <w:pStyle w:val="Subtitle"/>
      </w:pPr>
      <w:r>
        <w:t xml:space="preserve">Динамические модели SIR и Лотки–Вольтерры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2026-08-29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 работе исследованы две нелинейные динамические системы. Для модели SIR</w:t>
      </w:r>
      <w:r>
        <w:t xml:space="preserve"> </w:t>
      </w:r>
      <w:r>
        <w:t xml:space="preserve">определены базовое и эффективное репродуктивные числа, пик эпидемии и влияние</w:t>
      </w:r>
      <w:r>
        <w:t xml:space="preserve"> </w:t>
      </w:r>
      <w:r>
        <w:t xml:space="preserve">интенсивности контактов. Для системы Лотки–Вольтерры найдены положения</w:t>
      </w:r>
      <w:r>
        <w:t xml:space="preserve"> </w:t>
      </w:r>
      <w:r>
        <w:t xml:space="preserve">равновесия, построены временные и фазовые траектории, оценён период колебаний</w:t>
      </w:r>
      <w:r>
        <w:t xml:space="preserve"> </w:t>
      </w:r>
      <w:r>
        <w:t xml:space="preserve">и проконтролировано сохранение первого интеграла. Расчёты выполнены в Julia,</w:t>
      </w:r>
      <w:r>
        <w:t xml:space="preserve"> </w:t>
      </w:r>
      <w:r>
        <w:t xml:space="preserve">результаты представлены таблицами, графиками и выполненными блокнотами</w:t>
      </w:r>
      <w:r>
        <w:t xml:space="preserve"> </w:t>
      </w:r>
      <w:r>
        <w:t xml:space="preserve">Jupyter; корректность реализации подтверждена автоматическими тестами.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Организация вычислительного проекта</w:t>
      </w:r>
    </w:p>
    <w:p>
      <w:pPr>
        <w:pStyle w:val="Compact"/>
        <w:numPr>
          <w:ilvl w:val="0"/>
          <w:numId w:val="1001"/>
        </w:numPr>
      </w:pPr>
      <w:r>
        <w:t xml:space="preserve">Исследование модели SIR</w:t>
      </w:r>
    </w:p>
    <w:p>
      <w:pPr>
        <w:pStyle w:val="Compact"/>
        <w:numPr>
          <w:ilvl w:val="0"/>
          <w:numId w:val="1001"/>
        </w:numPr>
      </w:pPr>
      <w:r>
        <w:t xml:space="preserve">Исследование модели Лотки–Вольтерры</w:t>
      </w:r>
    </w:p>
    <w:p>
      <w:pPr>
        <w:pStyle w:val="Compact"/>
        <w:numPr>
          <w:ilvl w:val="0"/>
          <w:numId w:val="1001"/>
        </w:numPr>
      </w:pPr>
      <w:r>
        <w:t xml:space="preserve">Производные форматы и Jupyter</w:t>
      </w:r>
    </w:p>
    <w:p>
      <w:pPr>
        <w:pStyle w:val="Compact"/>
        <w:numPr>
          <w:ilvl w:val="0"/>
          <w:numId w:val="1001"/>
        </w:numPr>
      </w:pPr>
      <w:r>
        <w:t xml:space="preserve">Тестирование и контроль результатов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8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лабораторной работы — освоить численное исследование систем обыкновенных</w:t>
      </w:r>
      <w:r>
        <w:t xml:space="preserve"> </w:t>
      </w:r>
      <w:r>
        <w:t xml:space="preserve">дифференциальных уравнений на примере эпидемиологической модели SIR и модели</w:t>
      </w:r>
      <w:r>
        <w:t xml:space="preserve"> </w:t>
      </w:r>
      <w:r>
        <w:t xml:space="preserve">взаимодействия популяций Лотки–Вольтерры, а также подготовить воспроизводимый</w:t>
      </w:r>
      <w:r>
        <w:t xml:space="preserve"> </w:t>
      </w:r>
      <w:r>
        <w:t xml:space="preserve">вычислительный проект средствами Julia.</w:t>
      </w:r>
    </w:p>
    <w:p>
      <w:pPr>
        <w:pStyle w:val="BodyText"/>
      </w:pPr>
      <w:r>
        <w:t xml:space="preserve">В ходе работы требовалось:</w:t>
      </w:r>
    </w:p>
    <w:p>
      <w:pPr>
        <w:pStyle w:val="Compact"/>
        <w:numPr>
          <w:ilvl w:val="0"/>
          <w:numId w:val="1002"/>
        </w:numPr>
      </w:pPr>
      <w:r>
        <w:t xml:space="preserve">создать отдельный Julia-проект и закрепить версии зависимостей;</w:t>
      </w:r>
    </w:p>
    <w:p>
      <w:pPr>
        <w:pStyle w:val="Compact"/>
        <w:numPr>
          <w:ilvl w:val="0"/>
          <w:numId w:val="1002"/>
        </w:numPr>
      </w:pPr>
      <w:r>
        <w:t xml:space="preserve">реализовать правые части обеих систем ОДУ в общем модуле;</w:t>
      </w:r>
    </w:p>
    <w:p>
      <w:pPr>
        <w:pStyle w:val="Compact"/>
        <w:numPr>
          <w:ilvl w:val="0"/>
          <w:numId w:val="1002"/>
        </w:numPr>
      </w:pPr>
      <w:r>
        <w:t xml:space="preserve">решить базовую задачу SIR, вычислить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момент и величину пика инфекции;</w:t>
      </w:r>
    </w:p>
    <w:p>
      <w:pPr>
        <w:pStyle w:val="Compact"/>
        <w:numPr>
          <w:ilvl w:val="0"/>
          <w:numId w:val="1002"/>
        </w:numPr>
      </w:pPr>
      <w:r>
        <w:t xml:space="preserve">исследовать влияние среднего числа контактов на развитие эпидемии;</w:t>
      </w:r>
    </w:p>
    <w:p>
      <w:pPr>
        <w:pStyle w:val="Compact"/>
        <w:numPr>
          <w:ilvl w:val="0"/>
          <w:numId w:val="1002"/>
        </w:numPr>
      </w:pPr>
      <w:r>
        <w:t xml:space="preserve">решить систему Лотки–Вольтерры, найти нетривиальное равновесие и оценить</w:t>
      </w:r>
      <w:r>
        <w:t xml:space="preserve"> </w:t>
      </w:r>
      <w:r>
        <w:t xml:space="preserve">период колебаний;</w:t>
      </w:r>
    </w:p>
    <w:p>
      <w:pPr>
        <w:pStyle w:val="Compact"/>
        <w:numPr>
          <w:ilvl w:val="0"/>
          <w:numId w:val="1002"/>
        </w:numPr>
      </w:pPr>
      <w:r>
        <w:t xml:space="preserve">построить семейство фазовых орбит и проверить сохранение первого интеграла;</w:t>
      </w:r>
    </w:p>
    <w:p>
      <w:pPr>
        <w:pStyle w:val="Compact"/>
        <w:numPr>
          <w:ilvl w:val="0"/>
          <w:numId w:val="1002"/>
        </w:numPr>
      </w:pPr>
      <w:r>
        <w:t xml:space="preserve">сформировать CSV-данные, графики, QMD, выполненные IPYNB и HTML-документы;</w:t>
      </w:r>
    </w:p>
    <w:p>
      <w:pPr>
        <w:pStyle w:val="Compact"/>
        <w:numPr>
          <w:ilvl w:val="0"/>
          <w:numId w:val="1002"/>
        </w:numPr>
      </w:pPr>
      <w:r>
        <w:t xml:space="preserve">проверить физические инварианты и численные свойства автоматическими</w:t>
      </w:r>
      <w:r>
        <w:t xml:space="preserve"> </w:t>
      </w:r>
      <w:r>
        <w:t xml:space="preserve">тестами.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star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рабочего дерева и автора Git перед началом лабораторной работы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remote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Настроенные удалённые репозитории GitHub и GitVerse</w:t>
            </w:r>
          </w:p>
          <w:bookmarkEnd w:id="17"/>
        </w:tc>
      </w:tr>
    </w:tbl>
    <w:bookmarkEnd w:id="18"/>
    <w:bookmarkStart w:id="30" w:name="теоретическое-введение"/>
    <w:p>
      <w:pPr>
        <w:pStyle w:val="Heading1"/>
      </w:pPr>
      <w:r>
        <w:t xml:space="preserve">2. Теоретическое введение</w:t>
      </w:r>
    </w:p>
    <w:bookmarkStart w:id="24" w:name="эпидемиологическая-модель-sir"/>
    <w:p>
      <w:pPr>
        <w:pStyle w:val="Heading2"/>
      </w:pPr>
      <w:r>
        <w:t xml:space="preserve">2.1 Эпидемиологическая модель SIR</w:t>
      </w:r>
    </w:p>
    <w:p>
      <w:pPr>
        <w:pStyle w:val="FirstParagraph"/>
      </w:pPr>
      <w:r>
        <w:t xml:space="preserve">Закрытая популяция постоянной численности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разделяется на три группы: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восприимчивые к инфекции,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инфицированные и способные</w:t>
      </w:r>
      <w:r>
        <w:t xml:space="preserve"> </w:t>
      </w:r>
      <w:r>
        <w:t xml:space="preserve">передавать заболевание,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выздоровевшие и выбывшие из цепочки передачи.</w:t>
      </w:r>
    </w:p>
    <w:p>
      <w:pPr>
        <w:pStyle w:val="BodyText"/>
      </w:pPr>
      <w:r>
        <w:t xml:space="preserve">Использована система</w:t>
      </w:r>
    </w:p>
    <w:p>
      <w:pPr>
        <w:pStyle w:val="BodyText"/>
      </w:pPr>
      <w:bookmarkStart w:id="19" w:name="eq-sir-s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bookmarkStart w:id="20" w:name="eq-sir-i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bookmarkStart w:id="21" w:name="eq-sir-r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Здесь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вероятность передачи инфекции при одном контакте,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среднее число контактов за единицу времени,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интенсивность</w:t>
      </w:r>
      <w:r>
        <w:t xml:space="preserve"> </w:t>
      </w:r>
      <w:r>
        <w:t xml:space="preserve">выздоровления. Суммирование правых частей (</w:t>
      </w:r>
      <w:hyperlink w:anchor="eq-sir-s">
        <w:r>
          <w:rPr>
            <w:rStyle w:val="Hyperlink"/>
          </w:rPr>
          <w:t xml:space="preserve">Уравнение 1</w:t>
        </w:r>
      </w:hyperlink>
      <w:r>
        <w:t xml:space="preserve">)–(</w:t>
      </w:r>
      <w:hyperlink w:anchor="eq-sir-r">
        <w:r>
          <w:rPr>
            <w:rStyle w:val="Hyperlink"/>
          </w:rPr>
          <w:t xml:space="preserve">Уравнение 3</w:t>
        </w:r>
      </w:hyperlink>
      <w:r>
        <w:t xml:space="preserve">) даёт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является инвариантом модели.</w:t>
      </w:r>
    </w:p>
    <w:p>
      <w:pPr>
        <w:pStyle w:val="BodyText"/>
      </w:pPr>
      <w:r>
        <w:t xml:space="preserve">Базовое репродуктивное число равно</w:t>
      </w:r>
    </w:p>
    <w:p>
      <w:pPr>
        <w:pStyle w:val="BodyText"/>
      </w:pPr>
      <w:bookmarkStart w:id="22" w:name="eq-r0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малое возмущение затухает, а 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инфекция сначала</w:t>
      </w:r>
      <w:r>
        <w:t xml:space="preserve"> </w:t>
      </w:r>
      <w:r>
        <w:t xml:space="preserve">распространяется. С течением времени доля восприимчивых уменьшается, поэтому</w:t>
      </w:r>
      <w:r>
        <w:t xml:space="preserve"> </w:t>
      </w:r>
      <w:r>
        <w:t xml:space="preserve">используется эффективное репродуктивное число</w:t>
      </w:r>
    </w:p>
    <w:p>
      <w:pPr>
        <w:pStyle w:val="BodyText"/>
      </w:pPr>
      <w:bookmarkStart w:id="23" w:name="eq-re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Пик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достигается около момента, когда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пересекает единицу.</w:t>
      </w:r>
    </w:p>
    <w:bookmarkEnd w:id="24"/>
    <w:bookmarkStart w:id="29" w:name="модель-лоткивольтерры"/>
    <w:p>
      <w:pPr>
        <w:pStyle w:val="Heading2"/>
      </w:pPr>
      <w:r>
        <w:t xml:space="preserve">2.2 Модель Лотки–Вольтерры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численность жертв, а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численность хищников. Классическая</w:t>
      </w:r>
      <w:r>
        <w:t xml:space="preserve"> </w:t>
      </w:r>
      <w:r>
        <w:t xml:space="preserve">модель записывается как</w:t>
      </w:r>
    </w:p>
    <w:p>
      <w:pPr>
        <w:pStyle w:val="BodyText"/>
      </w:pPr>
      <w:bookmarkStart w:id="25" w:name="eq-lv-x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bookmarkStart w:id="26" w:name="eq-lv-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задаёт естественную скорость роста жертв,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интенсивность их потерь при встрече с хищниками,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эффективность</w:t>
      </w:r>
      <w:r>
        <w:t xml:space="preserve"> </w:t>
      </w:r>
      <w:r>
        <w:t xml:space="preserve">преобразования потреблённой пищи в прирост хищников,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естественную</w:t>
      </w:r>
      <w:r>
        <w:t xml:space="preserve"> </w:t>
      </w:r>
      <w:r>
        <w:t xml:space="preserve">смертность хищников.</w:t>
      </w:r>
    </w:p>
    <w:p>
      <w:pPr>
        <w:pStyle w:val="BodyText"/>
      </w:pPr>
      <w:r>
        <w:t xml:space="preserve">Нетривиальное равновесие определяется из условия равенства нулю обеих правых</w:t>
      </w:r>
      <w:r>
        <w:t xml:space="preserve"> </w:t>
      </w:r>
      <w:r>
        <w:t xml:space="preserve">частей:</w:t>
      </w:r>
    </w:p>
    <w:p>
      <w:pPr>
        <w:pStyle w:val="BodyText"/>
      </w:pPr>
      <w:bookmarkStart w:id="27" w:name="eq-equilibrium"/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Для положительных решений сохраняется первый интеграл</w:t>
      </w:r>
    </w:p>
    <w:p>
      <w:pPr>
        <w:pStyle w:val="BodyText"/>
      </w:pPr>
      <w:bookmarkStart w:id="28" w:name="eq-invariant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+</m:t>
          </m:r>
          <m:r>
            <m:t>β</m:t>
          </m:r>
          <m:r>
            <m:t>y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Его численный дрейф служит чувствительным контролем качества интегрирования.</w:t>
      </w:r>
      <w:r>
        <w:t xml:space="preserve"> </w:t>
      </w:r>
      <w:r>
        <w:t xml:space="preserve">В отличие от SIR, система не стремится к конечному состоянию: в идеализированной</w:t>
      </w:r>
      <w:r>
        <w:t xml:space="preserve"> </w:t>
      </w:r>
      <w:r>
        <w:t xml:space="preserve">модели возникают замкнутые фазовые орбиты вокруг точки (</w:t>
      </w:r>
      <w:hyperlink w:anchor="eq-equilibrium">
        <w:r>
          <w:rPr>
            <w:rStyle w:val="Hyperlink"/>
          </w:rPr>
          <w:t xml:space="preserve">Уравнение 8</w:t>
        </w:r>
      </w:hyperlink>
      <w:r>
        <w:t xml:space="preserve">).</w:t>
      </w:r>
    </w:p>
    <w:bookmarkEnd w:id="29"/>
    <w:bookmarkEnd w:id="30"/>
    <w:bookmarkStart w:id="44" w:name="организация-вычислительного-проекта"/>
    <w:p>
      <w:pPr>
        <w:pStyle w:val="Heading1"/>
      </w:pPr>
      <w:r>
        <w:t xml:space="preserve">3. Организация вычислительного проекта</w:t>
      </w:r>
    </w:p>
    <w:p>
      <w:pPr>
        <w:pStyle w:val="FirstParagraph"/>
      </w:pPr>
      <w:r>
        <w:t xml:space="preserve">Работа выполнена в той же изолированной среде, что и лабораторная №1:</w:t>
      </w:r>
      <w:r>
        <w:t xml:space="preserve"> </w:t>
      </w:r>
      <w:r>
        <w:t xml:space="preserve">Julia 1.11.9, Quarto 1.10.18 и JupyterLab 4.4.7. Зависимости закреплены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, а локальные каталоги пакетов исключены из Git.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version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Проверка версий Julia, Quarto и JupyterLab</w:t>
            </w:r>
          </w:p>
          <w:bookmarkEnd w:id="34"/>
        </w:tc>
      </w:tr>
    </w:tbl>
    <w:p>
      <w:pPr>
        <w:pStyle w:val="BodyText"/>
      </w:pPr>
      <w:r>
        <w:t xml:space="preserve">Основные компоненты среды приведены в</w:t>
      </w:r>
      <w:r>
        <w:t xml:space="preserve"> </w:t>
      </w:r>
      <w:hyperlink w:anchor="tbl-deps">
        <w:r>
          <w:rPr>
            <w:rStyle w:val="Hyperlink"/>
          </w:rPr>
          <w:t xml:space="preserve">Таблица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d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Основные зависимости проекта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Компонент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DifferentialEquations.jl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постановка и решение систем ОДУ методом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Tsit5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DrWatson.jl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организация путей, данных и активного проекта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DataFrames.jl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CSV.jl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табличные результаты и экспорт 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Plots.jl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построение временных и фазовых графиков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JLD2.jl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сохранение численных сводок вне публикуемого состава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Literate.jl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генерация Julia, QMD и IPYNB из литературного исходника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IJulia.jl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выполнение интерактивных блокнотов Julia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Quarto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формирование читаемой HTML-документации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src/epidemic_ecology.jl</w:t>
      </w:r>
      <w:r>
        <w:t xml:space="preserve"> </w:t>
      </w:r>
      <w:r>
        <w:t xml:space="preserve">собраны обе правые части, вычисление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равновесия и первого интеграла. Благодаря этому сценарии и тесты</w:t>
      </w:r>
      <w:r>
        <w:t xml:space="preserve"> </w:t>
      </w:r>
      <w:r>
        <w:t xml:space="preserve">используют одну реализацию математических формул.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susceptible, infected, recovered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beta, contacts,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susceptible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recovered</w:t>
      </w:r>
      <w:r>
        <w:br/>
      </w:r>
      <w:r>
        <w:rPr>
          <w:rStyle w:val="NormalTok"/>
        </w:rPr>
        <w:t xml:space="preserve">    incidence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susceptible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incidence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incidence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prey, 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Правые части систем из</w:t>
      </w:r>
      <w:r>
        <w:t xml:space="preserve"> </w:t>
      </w:r>
      <w:r>
        <w:rPr>
          <w:rStyle w:val="VerbatimChar"/>
        </w:rPr>
        <w:t xml:space="preserve">src/epidemic_ecology.jl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modul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image/04-terminal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Фрагмент общего модуля двух моделей</w:t>
            </w:r>
          </w:p>
          <w:bookmarkEnd w:id="39"/>
        </w:tc>
      </w:tr>
    </w:tbl>
    <w:p>
      <w:pPr>
        <w:pStyle w:val="BodyText"/>
      </w:pPr>
      <w:r>
        <w:t xml:space="preserve">Из литературных исходников автоматически создаются чистые скрипты, QMD и</w:t>
      </w:r>
      <w:r>
        <w:t xml:space="preserve"> </w:t>
      </w:r>
      <w:r>
        <w:t xml:space="preserve">IPYNB. Процесс выполнен отдельно для</w:t>
      </w:r>
      <w:r>
        <w:t xml:space="preserve"> </w:t>
      </w:r>
      <w:r>
        <w:rPr>
          <w:rStyle w:val="VerbatimChar"/>
        </w:rPr>
        <w:t xml:space="preserve">01_sir.jl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02_lotka_volterra.jl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tangl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/05-termina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Генерация производных форматов с помощью Literate.jl</w:t>
            </w:r>
          </w:p>
          <w:bookmarkEnd w:id="43"/>
        </w:tc>
      </w:tr>
    </w:tbl>
    <w:bookmarkEnd w:id="44"/>
    <w:bookmarkStart w:id="73" w:name="исследование-модели-sir"/>
    <w:p>
      <w:pPr>
        <w:pStyle w:val="Heading1"/>
      </w:pPr>
      <w:r>
        <w:t xml:space="preserve">4. Исследование модели SIR</w:t>
      </w:r>
    </w:p>
    <w:bookmarkStart w:id="66" w:name="базовый-сценарий"/>
    <w:p>
      <w:pPr>
        <w:pStyle w:val="Heading2"/>
      </w:pPr>
      <w:r>
        <w:t xml:space="preserve">4.1 Базовый сценарий</w:t>
      </w:r>
    </w:p>
    <w:p>
      <w:pPr>
        <w:pStyle w:val="FirstParagraph"/>
      </w:pPr>
      <w:r>
        <w:t xml:space="preserve">Начальные условия и параметры выбраны следующими: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R</m:t>
              </m:r>
            </m:e>
            <m:sub>
              <m:r>
                <m:t>0</m:t>
              </m:r>
            </m:sub>
            <m:sup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e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990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80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продолжительность болезни равна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дня, а по</w:t>
      </w:r>
      <w:r>
        <w:t xml:space="preserve"> </w:t>
      </w:r>
      <w:r>
        <w:t xml:space="preserve">(</w:t>
      </w:r>
      <w:hyperlink w:anchor="eq-r0">
        <w:r>
          <w:rPr>
            <w:rStyle w:val="Hyperlink"/>
          </w:rPr>
          <w:t xml:space="preserve">Уравнение 4</w:t>
        </w:r>
      </w:hyperlink>
      <w:r>
        <w:t xml:space="preserve">) получаем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Сценарий создаёт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решает его методом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, формирует таблицу траектории и вычисляет диагностические показатели.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contacts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(sir!, u0, tspan, (p.beta, p.contacts, p.gamma))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problem,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2 — Постановка и решение базовой задачи в</w:t>
      </w:r>
      <w:r>
        <w:t xml:space="preserve"> </w:t>
      </w:r>
      <w:r>
        <w:rPr>
          <w:rStyle w:val="VerbatimChar"/>
        </w:rPr>
        <w:t xml:space="preserve">scripts/01_sir.jl</w:t>
      </w:r>
    </w:p>
    <w:p>
      <w:pPr>
        <w:pStyle w:val="BodyText"/>
      </w:pPr>
      <w:r>
        <w:t xml:space="preserve">Результаты базового расчёта приведены в</w:t>
      </w:r>
      <w:r>
        <w:t xml:space="preserve"> </w:t>
      </w:r>
      <w:hyperlink w:anchor="tbl-sir-base">
        <w:r>
          <w:rPr>
            <w:rStyle w:val="Hyperlink"/>
          </w:rPr>
          <w:t xml:space="preserve">Таблица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ir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Численные характеристики базовой модели SIR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Базовое репродуктивное число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158,4512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 дня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Первое значение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, при котором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 дня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выздоровевших к 80-му дню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800,1424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Максимальный дрейф</w:t>
                  </w:r>
                  <w: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sir-outpu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06-terminal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 базового и параметрического экспериментов SIR</w:t>
            </w:r>
          </w:p>
          <w:bookmarkEnd w:id="49"/>
        </w:tc>
      </w:tr>
    </w:tbl>
    <w:p>
      <w:pPr>
        <w:pStyle w:val="BodyText"/>
      </w:pPr>
      <w:r>
        <w:t xml:space="preserve">На</w:t>
      </w:r>
      <w:r>
        <w:t xml:space="preserve"> </w:t>
      </w:r>
      <w:hyperlink w:anchor="fig-sir-dynamics">
        <w:r>
          <w:rPr>
            <w:rStyle w:val="Hyperlink"/>
          </w:rPr>
          <w:t xml:space="preserve">Рисунок 7</w:t>
        </w:r>
      </w:hyperlink>
      <w:r>
        <w:t xml:space="preserve"> </w:t>
      </w:r>
      <w:r>
        <w:t xml:space="preserve">видно монотонное уменьшение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колоколообразную</w:t>
      </w:r>
      <w:r>
        <w:t xml:space="preserve"> </w:t>
      </w:r>
      <w:r>
        <w:t xml:space="preserve">кривую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 монотонный рост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Число инфицированных достигает максимума</w:t>
      </w:r>
      <w:r>
        <w:t xml:space="preserve"> </w:t>
      </w:r>
      <w:r>
        <w:t xml:space="preserve">после того, как запас восприимчивых сократился достаточно, чтобы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приблизился</w:t>
      </w:r>
      <w:r>
        <w:t xml:space="preserve"> </w:t>
      </w:r>
      <w:r>
        <w:t xml:space="preserve">к единице.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sir-dynamics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Динамика трёх групп в модели SIR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sir-peak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Пик числа инфицированных</w:t>
            </w:r>
          </w:p>
          <w:bookmarkEnd w:id="57"/>
        </w:tc>
      </w:tr>
    </w:tbl>
    <w:p>
      <w:pPr>
        <w:pStyle w:val="BodyText"/>
      </w:pPr>
      <w:r>
        <w:t xml:space="preserve">График</w:t>
      </w:r>
      <w:r>
        <w:t xml:space="preserve"> </w:t>
      </w:r>
      <w:hyperlink w:anchor="fig-sir-re">
        <w:r>
          <w:rPr>
            <w:rStyle w:val="Hyperlink"/>
          </w:rPr>
          <w:t xml:space="preserve">Рисунок 9</w:t>
        </w:r>
      </w:hyperlink>
      <w:r>
        <w:t xml:space="preserve"> </w:t>
      </w:r>
      <w:r>
        <w:t xml:space="preserve">подтверждает пороговую интерпретацию: после пересечения</w:t>
      </w:r>
      <w:r>
        <w:t xml:space="preserve"> </w:t>
      </w:r>
      <w:r>
        <w:t xml:space="preserve">уровня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производная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становится отрицательной, и эпидемическая</w:t>
      </w:r>
      <w:r>
        <w:t xml:space="preserve"> </w:t>
      </w:r>
      <w:r>
        <w:t xml:space="preserve">волна затухает.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sir-re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Динамика эффективного репродуктивного числа</w:t>
            </w:r>
          </w:p>
          <w:bookmarkEnd w:id="61"/>
        </w:tc>
      </w:tr>
    </w:tbl>
    <w:p>
      <w:pPr>
        <w:pStyle w:val="BodyText"/>
      </w:pPr>
      <w:r>
        <w:t xml:space="preserve">Фазовая траектория в координатах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не замкнута. Восприимчивые только</w:t>
      </w:r>
      <w:r>
        <w:t xml:space="preserve"> </w:t>
      </w:r>
      <w:r>
        <w:t xml:space="preserve">убывают, поэтому система перемещается от начального состояния к области малого</w:t>
      </w:r>
      <w:r>
        <w:t xml:space="preserve"> </w:t>
      </w:r>
      <w:r>
        <w:t xml:space="preserve">числа инфицированных.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ir-phase"/>
          <w:p>
            <w:pPr>
              <w:pStyle w:val="Compact"/>
              <w:jc w:val="center"/>
            </w:pPr>
            <w:r>
              <w:drawing>
                <wp:inline>
                  <wp:extent cx="4160520" cy="300482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004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Фазовая траектория модели SIR</w:t>
            </w:r>
          </w:p>
          <w:bookmarkEnd w:id="65"/>
        </w:tc>
      </w:tr>
    </w:tbl>
    <w:bookmarkEnd w:id="66"/>
    <w:bookmarkStart w:id="72" w:name="исследование-числа-контактов"/>
    <w:p>
      <w:pPr>
        <w:pStyle w:val="Heading2"/>
      </w:pPr>
      <w:r>
        <w:t xml:space="preserve">4.2 Исследование числа контактов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изменялся по сетке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;</m:t>
        </m:r>
        <m:r>
          <m:t>15</m:t>
        </m:r>
        <m:r>
          <m:rPr>
            <m:sty m:val="p"/>
          </m:rPr>
          <m:t>}</m:t>
        </m:r>
      </m:oMath>
      <w:r>
        <w:t xml:space="preserve">. Остальные параметры и начальные условия не менялись.</w:t>
      </w:r>
      <w:r>
        <w:t xml:space="preserve"> </w:t>
      </w:r>
      <w:r>
        <w:t xml:space="preserve">Результаты представлены в</w:t>
      </w:r>
      <w:r>
        <w:t xml:space="preserve"> </w:t>
      </w:r>
      <w:hyperlink w:anchor="tbl-sir-scan">
        <w:r>
          <w:rPr>
            <w:rStyle w:val="Hyperlink"/>
          </w:rPr>
          <w:t xml:space="preserve">Таблица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sir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Влияние числа контактов на ход эпидемии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Пик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24,3649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119,6710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69,7231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590,6630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158,4512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800,1424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303,7940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941,2020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инфекция затухает сразу. Пороговый режим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также не</w:t>
      </w:r>
      <w:r>
        <w:t xml:space="preserve"> </w:t>
      </w:r>
      <w:r>
        <w:t xml:space="preserve">создаёт выраженного роста из-за того, что начальная доля восприимчивых меньше</w:t>
      </w:r>
      <w:r>
        <w:t xml:space="preserve"> </w:t>
      </w:r>
      <w:r>
        <w:t xml:space="preserve">единицы. При увеличении числа контактов пик становится выше и возникает раньше.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sir-scan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Сравнение кривых I(t) при разных значениях числа контактов</w:t>
            </w:r>
          </w:p>
          <w:bookmarkEnd w:id="71"/>
        </w:tc>
      </w:tr>
    </w:tbl>
    <w:bookmarkEnd w:id="72"/>
    <w:bookmarkEnd w:id="73"/>
    <w:bookmarkStart w:id="99" w:name="исследование-модели-лоткивольтерры"/>
    <w:p>
      <w:pPr>
        <w:pStyle w:val="Heading1"/>
      </w:pPr>
      <w:r>
        <w:t xml:space="preserve">5. Исследование модели Лотки–Вольтерры</w:t>
      </w:r>
    </w:p>
    <w:bookmarkStart w:id="87" w:name="базовый-сценарий-1"/>
    <w:p>
      <w:pPr>
        <w:pStyle w:val="Heading2"/>
      </w:pPr>
      <w:r>
        <w:t xml:space="preserve">5.1 Базовый сценарий</w:t>
      </w:r>
    </w:p>
    <w:p>
      <w:pPr>
        <w:pStyle w:val="FirstParagraph"/>
      </w:pPr>
      <w:r>
        <w:t xml:space="preserve">Для исследования выбраны параметры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r>
            <m:t>0.02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начальное состояние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и интервал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]</m:t>
        </m:r>
      </m:oMath>
      <w:r>
        <w:t xml:space="preserve">. По</w:t>
      </w:r>
      <w:r>
        <w:t xml:space="preserve"> </w:t>
      </w:r>
      <w:r>
        <w:t xml:space="preserve">(</w:t>
      </w:r>
      <w:hyperlink w:anchor="eq-equilibrium">
        <w:r>
          <w:rPr>
            <w:rStyle w:val="Hyperlink"/>
          </w:rPr>
          <w:t xml:space="preserve">Уравнение 8</w:t>
        </w:r>
      </w:hyperlink>
      <w:r>
        <w:t xml:space="preserve">) стационарная точка равна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delta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lotka_volterra!,</w:t>
      </w:r>
      <w:r>
        <w:br/>
      </w:r>
      <w:r>
        <w:rPr>
          <w:rStyle w:val="NormalTok"/>
        </w:rPr>
        <w:t xml:space="preserve">    u0,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(p.alpha, p.beta, p.delta, p.gamma),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problem,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Решение базовой системы в</w:t>
      </w:r>
      <w:r>
        <w:t xml:space="preserve"> </w:t>
      </w:r>
      <w:r>
        <w:rPr>
          <w:rStyle w:val="VerbatimChar"/>
        </w:rPr>
        <w:t xml:space="preserve">scripts/02_lotka_volterra.jl</w:t>
      </w:r>
    </w:p>
    <w:p>
      <w:pPr>
        <w:pStyle w:val="BodyText"/>
      </w:pPr>
      <w:r>
        <w:t xml:space="preserve">Численные характеристики собраны в</w:t>
      </w:r>
      <w:r>
        <w:t xml:space="preserve"> </w:t>
      </w:r>
      <w:hyperlink w:anchor="tbl-lv-base">
        <w:r>
          <w:rPr>
            <w:rStyle w:val="Hyperlink"/>
          </w:rPr>
          <w:t xml:space="preserve">Таблица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lv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Характеристики базовой модели Лотки–Вольтерры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Равновесие жертв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Равновесие хищников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Диапазон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17,7539–46,8894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Диапазон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1,8952–10,4148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Оценка периода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37,6889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Дрейф первого интеграла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lv-outpu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image/07-terminal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Результаты базового эксперимента и семейства начальных условий</w:t>
            </w:r>
          </w:p>
          <w:bookmarkEnd w:id="78"/>
        </w:tc>
      </w:tr>
    </w:tbl>
    <w:p>
      <w:pPr>
        <w:pStyle w:val="BodyText"/>
      </w:pPr>
      <w:r>
        <w:t xml:space="preserve">На временном графике</w:t>
      </w:r>
      <w:r>
        <w:t xml:space="preserve"> </w:t>
      </w:r>
      <w:hyperlink w:anchor="fig-lv-dynamics">
        <w:r>
          <w:rPr>
            <w:rStyle w:val="Hyperlink"/>
          </w:rPr>
          <w:t xml:space="preserve">Рисунок 13</w:t>
        </w:r>
      </w:hyperlink>
      <w:r>
        <w:t xml:space="preserve"> </w:t>
      </w:r>
      <w:r>
        <w:t xml:space="preserve">рост жертв предшествует росту хищников.</w:t>
      </w:r>
      <w:r>
        <w:t xml:space="preserve"> </w:t>
      </w:r>
      <w:r>
        <w:t xml:space="preserve">Увеличение числа хищников затем сокращает популяцию жертв, после чего из-за</w:t>
      </w:r>
      <w:r>
        <w:t xml:space="preserve"> </w:t>
      </w:r>
      <w:r>
        <w:t xml:space="preserve">недостатка пищи уменьшается и популяция хищников. Ослабление давления позволяет</w:t>
      </w:r>
      <w:r>
        <w:t xml:space="preserve"> </w:t>
      </w:r>
      <w:r>
        <w:t xml:space="preserve">жертвам восстановиться, и цикл повторяется.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lv-dynamics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Периодические колебания жертв и хищников</w:t>
            </w:r>
          </w:p>
          <w:bookmarkEnd w:id="82"/>
        </w:tc>
      </w:tr>
    </w:tbl>
    <w:p>
      <w:pPr>
        <w:pStyle w:val="BodyText"/>
      </w:pPr>
      <w:r>
        <w:t xml:space="preserve">Фазовая траектория замкнута и охватывает стационарную точку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 Начальное</w:t>
      </w:r>
      <w:r>
        <w:t xml:space="preserve"> </w:t>
      </w:r>
      <w:r>
        <w:t xml:space="preserve">состояние не лежит в равновесии, поэтому оно определяет конкретную орбиту.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lv-phase"/>
          <w:p>
            <w:pPr>
              <w:pStyle w:val="Compact"/>
              <w:jc w:val="center"/>
            </w:pPr>
            <w:r>
              <w:drawing>
                <wp:inline>
                  <wp:extent cx="4160520" cy="3328416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../image/07-plot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328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Фазовый портрет базовой модели</w:t>
            </w:r>
          </w:p>
          <w:bookmarkEnd w:id="86"/>
        </w:tc>
      </w:tr>
    </w:tbl>
    <w:bookmarkEnd w:id="87"/>
    <w:bookmarkStart w:id="92" w:name="контроль-первого-интеграла"/>
    <w:p>
      <w:pPr>
        <w:pStyle w:val="Heading2"/>
      </w:pPr>
      <w:r>
        <w:t xml:space="preserve">5.2 Контроль первого интеграла</w:t>
      </w:r>
    </w:p>
    <w:p>
      <w:pPr>
        <w:pStyle w:val="FirstParagraph"/>
      </w:pPr>
      <w:r>
        <w:t xml:space="preserve">Для каждой сохранённой точки вычислялось значение (</w:t>
      </w:r>
      <w:hyperlink w:anchor="eq-invariant">
        <w:r>
          <w:rPr>
            <w:rStyle w:val="Hyperlink"/>
          </w:rPr>
          <w:t xml:space="preserve">Уравнение 9</w:t>
        </w:r>
      </w:hyperlink>
      <w:r>
        <w:t xml:space="preserve">). Основная</w:t>
      </w:r>
      <w:r>
        <w:t xml:space="preserve"> </w:t>
      </w:r>
      <w:r>
        <w:t xml:space="preserve">часть проверки приведена в листинге 4.</w:t>
      </w:r>
    </w:p>
    <w:p>
      <w:pPr>
        <w:pStyle w:val="SourceCode"/>
      </w:pPr>
      <w:r>
        <w:rPr>
          <w:rStyle w:val="NormalTok"/>
        </w:rPr>
        <w:t xml:space="preserve">trajectory.invariant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lotka_invariant</w:t>
      </w:r>
      <w:r>
        <w:rPr>
          <w:rStyle w:val="NormalTok"/>
        </w:rPr>
        <w:t xml:space="preserve">.(</w:t>
      </w:r>
      <w:r>
        <w:br/>
      </w:r>
      <w:r>
        <w:rPr>
          <w:rStyle w:val="NormalTok"/>
        </w:rPr>
        <w:t xml:space="preserve">    trajectory.prey,</w:t>
      </w:r>
      <w:r>
        <w:br/>
      </w:r>
      <w:r>
        <w:rPr>
          <w:rStyle w:val="NormalTok"/>
        </w:rPr>
        <w:t xml:space="preserve">    trajectory.predator,</w:t>
      </w:r>
      <w:r>
        <w:br/>
      </w:r>
      <w:r>
        <w:rPr>
          <w:rStyle w:val="NormalTok"/>
        </w:rPr>
        <w:t xml:space="preserve">    p.alpha,</w:t>
      </w:r>
      <w:r>
        <w:br/>
      </w:r>
      <w:r>
        <w:rPr>
          <w:rStyle w:val="NormalTok"/>
        </w:rPr>
        <w:t xml:space="preserve">    p.beta,</w:t>
      </w:r>
      <w:r>
        <w:br/>
      </w:r>
      <w:r>
        <w:rPr>
          <w:rStyle w:val="NormalTok"/>
        </w:rPr>
        <w:t xml:space="preserve">    p.delta,</w:t>
      </w:r>
      <w:r>
        <w:br/>
      </w:r>
      <w:r>
        <w:rPr>
          <w:rStyle w:val="NormalTok"/>
        </w:rPr>
        <w:t xml:space="preserve">    p.gamma,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invariant_drift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.(trajectory.invariant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(trajectory.invariant))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Контроль первого интеграла в</w:t>
      </w:r>
      <w:r>
        <w:t xml:space="preserve"> </w:t>
      </w:r>
      <w:r>
        <w:rPr>
          <w:rStyle w:val="VerbatimChar"/>
        </w:rPr>
        <w:t xml:space="preserve">scripts/02_lotka_volterra.jl</w:t>
      </w:r>
    </w:p>
    <w:p>
      <w:pPr>
        <w:pStyle w:val="BodyText"/>
      </w:pPr>
      <w:r>
        <w:t xml:space="preserve">Максимальное отклонение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существенно меньше масштаба</w:t>
      </w:r>
      <w:r>
        <w:t xml:space="preserve"> </w:t>
      </w:r>
      <w:r>
        <w:t xml:space="preserve">самой функции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 Следовательно, выбранные допуски решателя обеспечивают</w:t>
      </w:r>
      <w:r>
        <w:t xml:space="preserve"> </w:t>
      </w:r>
      <w:r>
        <w:t xml:space="preserve">высокую численную точность на длинном интервале.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lv-invariant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image/08-plo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Отклонение первого интеграла от начального значения</w:t>
            </w:r>
          </w:p>
          <w:bookmarkEnd w:id="91"/>
        </w:tc>
      </w:tr>
    </w:tbl>
    <w:bookmarkEnd w:id="92"/>
    <w:bookmarkStart w:id="98" w:name="семейство-начальных-условий"/>
    <w:p>
      <w:pPr>
        <w:pStyle w:val="Heading2"/>
      </w:pPr>
      <w:r>
        <w:t xml:space="preserve">5.3 Семейство начальных условий</w:t>
      </w:r>
    </w:p>
    <w:p>
      <w:pPr>
        <w:pStyle w:val="FirstParagraph"/>
      </w:pPr>
      <w:r>
        <w:t xml:space="preserve">Дополнительно исследованы четыре начальных состояния. Параметры модели были</w:t>
      </w:r>
      <w:r>
        <w:t xml:space="preserve"> </w:t>
      </w:r>
      <w:r>
        <w:t xml:space="preserve">одинаковыми, поэтому все орбиты окружают одну и ту же точку равновесия, но имеют</w:t>
      </w:r>
      <w:r>
        <w:t xml:space="preserve"> </w:t>
      </w:r>
      <w:r>
        <w:t xml:space="preserve">разные амплитуды.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lv-fami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5: Диапазоны колебаний при разных начальных условиях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19,5524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43,6358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2,2873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15,5703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51,3965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46,8894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10,4148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13,8884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55,3873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13,4405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lv-family"/>
          <w:p>
            <w:pPr>
              <w:pStyle w:val="Compact"/>
              <w:jc w:val="center"/>
            </w:pPr>
            <w:r>
              <w:drawing>
                <wp:inline>
                  <wp:extent cx="4267200" cy="341375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image/09-plot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137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Семейство фазовых орбит</w:t>
            </w:r>
          </w:p>
          <w:bookmarkEnd w:id="97"/>
        </w:tc>
      </w:tr>
    </w:tbl>
    <w:bookmarkEnd w:id="98"/>
    <w:bookmarkEnd w:id="99"/>
    <w:bookmarkStart w:id="120" w:name="производные-форматы-и-jupyter"/>
    <w:p>
      <w:pPr>
        <w:pStyle w:val="Heading1"/>
      </w:pPr>
      <w:r>
        <w:t xml:space="preserve">6. Производные форматы и Jupyter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make tangle</w:t>
      </w:r>
      <w:r>
        <w:t xml:space="preserve"> </w:t>
      </w:r>
      <w:r>
        <w:t xml:space="preserve">для каждого литературного исходника созданы три согласованных</w:t>
      </w:r>
      <w:r>
        <w:t xml:space="preserve"> </w:t>
      </w:r>
      <w:r>
        <w:t xml:space="preserve">представления: исполняемый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документ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и блокнот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make notebooks</w:t>
      </w:r>
      <w:r>
        <w:t xml:space="preserve"> </w:t>
      </w:r>
      <w:r>
        <w:t xml:space="preserve">выполнила оба блокнота с ядром Julia; номера выполнения и</w:t>
      </w:r>
      <w:r>
        <w:t xml:space="preserve"> </w:t>
      </w:r>
      <w:r>
        <w:t xml:space="preserve">текстовые результаты сохранены внутри 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file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image/08-terminal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Структура рассчитанных данных, графиков, QMD и IPYNB</w:t>
            </w:r>
          </w:p>
          <w:bookmarkEnd w:id="1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nb-run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/09-terminal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Успешное выполнение обоих блокнотов через nbconvert</w:t>
            </w:r>
          </w:p>
          <w:bookmarkEnd w:id="107"/>
        </w:tc>
      </w:tr>
    </w:tbl>
    <w:p>
      <w:pPr>
        <w:pStyle w:val="BodyText"/>
      </w:pPr>
      <w:r>
        <w:t xml:space="preserve">JupyterLab распознаёт специальное ядро лабораторной №2 и показывает все</w:t>
      </w:r>
      <w:r>
        <w:t xml:space="preserve"> </w:t>
      </w:r>
      <w:r>
        <w:t xml:space="preserve">каталоги проекта.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jupyter-launcher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Интерфейс JupyterLab и ядро Julia лабораторной №2</w:t>
            </w:r>
          </w:p>
          <w:bookmarkEnd w:id="1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jupyter-sir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Начало выполненного блокнота модели SIR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jupyter-lv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../image/04-jupyter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Начало выполненного блокнота модели Лотки–Вольтерры</w:t>
            </w:r>
          </w:p>
          <w:bookmarkEnd w:id="119"/>
        </w:tc>
      </w:tr>
    </w:tbl>
    <w:bookmarkEnd w:id="120"/>
    <w:bookmarkStart w:id="129" w:name="тестирование-и-контроль-результатов"/>
    <w:p>
      <w:pPr>
        <w:pStyle w:val="Heading1"/>
      </w:pPr>
      <w:r>
        <w:t xml:space="preserve">7. Тестирование и контроль результатов</w:t>
      </w:r>
    </w:p>
    <w:p>
      <w:pPr>
        <w:pStyle w:val="FirstParagraph"/>
      </w:pPr>
      <w:r>
        <w:t xml:space="preserve">Автоматические тесты проверяют не только отдельные функции, но и свойства</w:t>
      </w:r>
      <w:r>
        <w:t xml:space="preserve"> </w:t>
      </w:r>
      <w:r>
        <w:t xml:space="preserve">численных траекторий:</w:t>
      </w:r>
    </w:p>
    <w:p>
      <w:pPr>
        <w:pStyle w:val="Compact"/>
        <w:numPr>
          <w:ilvl w:val="0"/>
          <w:numId w:val="1003"/>
        </w:numPr>
      </w:pPr>
      <w:r>
        <w:t xml:space="preserve">сумма правых частей SIR равна нулю;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сохраняется с точностью лучше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все компоненты SIR неотрицательны;</w:t>
      </w:r>
    </w:p>
    <w:p>
      <w:pPr>
        <w:pStyle w:val="Compact"/>
        <w:numPr>
          <w:ilvl w:val="0"/>
          <w:numId w:val="1003"/>
        </w:numPr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число инфицированных действительно растёт выше начального;</w:t>
      </w:r>
    </w:p>
    <w:p>
      <w:pPr>
        <w:pStyle w:val="Compact"/>
        <w:numPr>
          <w:ilvl w:val="0"/>
          <w:numId w:val="1003"/>
        </w:numPr>
      </w:pPr>
      <w:r>
        <w:t xml:space="preserve">аналитическое равновесие Лотки–Вольтерры равно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 равновесии обе производные равны нулю;</w:t>
      </w:r>
    </w:p>
    <w:p>
      <w:pPr>
        <w:pStyle w:val="Compact"/>
        <w:numPr>
          <w:ilvl w:val="0"/>
          <w:numId w:val="1003"/>
        </w:numPr>
      </w:pPr>
      <w:r>
        <w:t xml:space="preserve">траектория остаётся в положительном квадранте;</w:t>
      </w:r>
    </w:p>
    <w:p>
      <w:pPr>
        <w:pStyle w:val="Compact"/>
        <w:numPr>
          <w:ilvl w:val="0"/>
          <w:numId w:val="1003"/>
        </w:numPr>
      </w:pPr>
      <w:r>
        <w:t xml:space="preserve">первый интеграл сохраняется с точностью лучше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.(totals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(totals)))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.(solution.u))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1e-8</w:t>
      </w:r>
      <w:r>
        <w:br/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(equilibrium)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]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.(values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(values)))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.(solution.u))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FirstParagraph"/>
      </w:pPr>
      <w:r>
        <w:t xml:space="preserve">Листинг 5 — Проверки численных инвариантов в</w:t>
      </w:r>
      <w:r>
        <w:t xml:space="preserve"> </w:t>
      </w:r>
      <w:r>
        <w:rPr>
          <w:rStyle w:val="VerbatimChar"/>
        </w:rPr>
        <w:t xml:space="preserve">test/runtests.jl</w:t>
      </w:r>
    </w:p>
    <w:p>
      <w:pPr>
        <w:pStyle w:val="BodyText"/>
      </w:pPr>
      <w:r>
        <w:t xml:space="preserve">Всего выполнено 10 проверок: шесть для SIR и четыре для системы</w:t>
      </w:r>
      <w:r>
        <w:t xml:space="preserve"> </w:t>
      </w:r>
      <w:r>
        <w:t xml:space="preserve">Лотки–Вольтерры. Все тесты завершились успешно.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test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../image/10-terminal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Полностью пройденный набор тестов</w:t>
            </w:r>
          </w:p>
          <w:bookmarkEnd w:id="124"/>
        </w:tc>
      </w:tr>
    </w:tbl>
    <w:p>
      <w:pPr>
        <w:pStyle w:val="BodyText"/>
      </w:pPr>
      <w:r>
        <w:t xml:space="preserve">Перед фиксацией результатов дополнительно выполняется</w:t>
      </w:r>
      <w:r>
        <w:t xml:space="preserve"> </w:t>
      </w:r>
      <w:r>
        <w:rPr>
          <w:rStyle w:val="VerbatimChar"/>
        </w:rPr>
        <w:t xml:space="preserve">git diff --check</w:t>
      </w:r>
      <w:r>
        <w:t xml:space="preserve">,</w:t>
      </w:r>
      <w:r>
        <w:t xml:space="preserve"> </w:t>
      </w:r>
      <w:r>
        <w:t xml:space="preserve">проверяется состав лабораторной и отсутствие локальных служебных файлов в Git.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iff-check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../image/11-terminal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Проверка форматирования изменений</w:t>
            </w:r>
          </w:p>
          <w:bookmarkEnd w:id="128"/>
        </w:tc>
      </w:tr>
    </w:tbl>
    <w:bookmarkEnd w:id="129"/>
    <w:bookmarkStart w:id="130" w:name="выводы"/>
    <w:p>
      <w:pPr>
        <w:pStyle w:val="Heading1"/>
      </w:pPr>
      <w:r>
        <w:t xml:space="preserve">8. Выводы</w:t>
      </w:r>
    </w:p>
    <w:p>
      <w:pPr>
        <w:pStyle w:val="FirstParagraph"/>
      </w:pPr>
      <w:r>
        <w:t xml:space="preserve">В лабораторной работе реализованы и исследованы две нелинейные модели.</w:t>
      </w:r>
    </w:p>
    <w:p>
      <w:pPr>
        <w:pStyle w:val="BodyText"/>
      </w:pPr>
      <w:r>
        <w:t xml:space="preserve">Для SIR подтверждён пороговый характер распространения инфекции. В базовом</w:t>
      </w:r>
      <w:r>
        <w:t xml:space="preserve"> </w:t>
      </w:r>
      <w:r>
        <w:t xml:space="preserve">случае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максимум числа инфицированных равен приблизительно 158,45 и</w:t>
      </w:r>
      <w:r>
        <w:t xml:space="preserve"> </w:t>
      </w:r>
      <w:r>
        <w:t xml:space="preserve">достигается на 17,5-й день. Сканирование числа контактов показало, что 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выраженный пик отсутствует, а рост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приводит к более ранней и</w:t>
      </w:r>
      <w:r>
        <w:t xml:space="preserve"> </w:t>
      </w:r>
      <w:r>
        <w:t xml:space="preserve">высокой эпидемической волне. Суммарная численность сохраняется с дрейфом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Для модели Лотки–Вольтерры найдена стационарная точка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построены</w:t>
      </w:r>
      <w:r>
        <w:t xml:space="preserve"> </w:t>
      </w:r>
      <w:r>
        <w:t xml:space="preserve">временные и фазовые траектории, оценён период колебаний 37,6889. Разные</w:t>
      </w:r>
      <w:r>
        <w:t xml:space="preserve"> </w:t>
      </w:r>
      <w:r>
        <w:t xml:space="preserve">начальные условия создают семейство замкнутых орбит вокруг общего равновесия.</w:t>
      </w:r>
      <w:r>
        <w:t xml:space="preserve"> </w:t>
      </w:r>
      <w:r>
        <w:t xml:space="preserve">Первый интеграл сохраняется с максимальным отклонением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Проект содержит литературные и чистые Julia-скрипты, CSV-данные, графики,</w:t>
      </w:r>
      <w:r>
        <w:t xml:space="preserve"> </w:t>
      </w:r>
      <w:r>
        <w:t xml:space="preserve">QMD-документы, выполненные IPYNB и автоматические тесты. Все десять проверок</w:t>
      </w:r>
      <w:r>
        <w:t xml:space="preserve"> </w:t>
      </w:r>
      <w:r>
        <w:t xml:space="preserve">пройдены, поэтому вычислительные результаты согласуются с теоретическими</w:t>
      </w:r>
      <w:r>
        <w:t xml:space="preserve"> </w:t>
      </w:r>
      <w:r>
        <w:t xml:space="preserve">свойствами обеих моделей.</w:t>
      </w:r>
    </w:p>
    <w:bookmarkEnd w:id="130"/>
    <w:bookmarkStart w:id="135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04"/>
        </w:numPr>
      </w:pPr>
      <w:r>
        <w:t xml:space="preserve">Kermack W. O., McKendrick A. G. A Contribution to the Mathematical Theory</w:t>
      </w:r>
      <w:r>
        <w:t xml:space="preserve"> </w:t>
      </w:r>
      <w:r>
        <w:t xml:space="preserve">of Epidemics // Proceedings of the Royal Society A. 1927. Vol. 115.</w:t>
      </w:r>
      <w:r>
        <w:t xml:space="preserve"> </w:t>
      </w:r>
      <w:r>
        <w:t xml:space="preserve">P. 700–721. DOI: 10.1098/rspa.1927.0118.</w:t>
      </w:r>
    </w:p>
    <w:p>
      <w:pPr>
        <w:pStyle w:val="Compact"/>
        <w:numPr>
          <w:ilvl w:val="0"/>
          <w:numId w:val="1004"/>
        </w:numPr>
      </w:pPr>
      <w:r>
        <w:t xml:space="preserve">Lotka A. J. Elements of Physical Biology. Baltimore: Williams &amp; Wilkins,</w:t>
      </w:r>
    </w:p>
    <w:p>
      <w:pPr>
        <w:pStyle w:val="Compact"/>
        <w:numPr>
          <w:ilvl w:val="0"/>
          <w:numId w:val="1004"/>
        </w:numPr>
      </w:pPr>
      <w:r>
        <w:t xml:space="preserve">Volterra V. Fluctuations in the Abundance of a Species considered</w:t>
      </w:r>
      <w:r>
        <w:t xml:space="preserve"> </w:t>
      </w:r>
      <w:r>
        <w:t xml:space="preserve">Mathematically // Nature. 1926. Vol. 118. P. 558–560.</w:t>
      </w:r>
    </w:p>
    <w:p>
      <w:pPr>
        <w:pStyle w:val="Compact"/>
        <w:numPr>
          <w:ilvl w:val="0"/>
          <w:numId w:val="1004"/>
        </w:numPr>
      </w:pPr>
      <w:r>
        <w:t xml:space="preserve">SciML. DifferentialEquations.jl Documentation.</w:t>
      </w:r>
      <w:r>
        <w:t xml:space="preserve"> </w:t>
      </w:r>
      <w:hyperlink r:id="rId131">
        <w:r>
          <w:rPr>
            <w:rStyle w:val="Hyperlink"/>
          </w:rPr>
          <w:t xml:space="preserve">https://docs.sciml.ai/DiffEqDocs/stable/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DrWatson.jl Documentation.</w:t>
      </w:r>
      <w:r>
        <w:t xml:space="preserve"> </w:t>
      </w:r>
      <w:hyperlink r:id="rId132">
        <w:r>
          <w:rPr>
            <w:rStyle w:val="Hyperlink"/>
          </w:rPr>
          <w:t xml:space="preserve">https://juliadynamics.github.io/DrWatson.jl/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Literate.jl Documentation.</w:t>
      </w:r>
      <w:r>
        <w:t xml:space="preserve"> </w:t>
      </w:r>
      <w:hyperlink r:id="rId133">
        <w:r>
          <w:rPr>
            <w:rStyle w:val="Hyperlink"/>
          </w:rPr>
          <w:t xml:space="preserve">https://fredrikekre.github.io/Literate.jl/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Quarto Documentation.</w:t>
      </w:r>
      <w:r>
        <w:t xml:space="preserve"> </w:t>
      </w:r>
      <w:hyperlink r:id="rId134">
        <w:r>
          <w:rPr>
            <w:rStyle w:val="Hyperlink"/>
          </w:rPr>
          <w:t xml:space="preserve">https://quarto.org/docs/</w:t>
        </w:r>
      </w:hyperlink>
      <w:r>
        <w:t xml:space="preserve">.</w:t>
      </w:r>
    </w:p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925">
    <w:nsid w:val="A99411925"/>
    <w:multiLevelType w:val="multilevel"/>
    <w:lvl w:ilvl="0">
      <w:start w:val="1925"/>
      <w:numFmt w:val="decimal"/>
      <w:lvlText w:val="%1."/>
      <w:lvlJc w:val="left"/>
      <w:pPr>
        <w:ind w:left="720" w:hanging="360"/>
      </w:pPr>
    </w:lvl>
    <w:lvl w:ilvl="1">
      <w:start w:val="1925"/>
      <w:numFmt w:val="decimal"/>
      <w:lvlText w:val="%2."/>
      <w:lvlJc w:val="left"/>
      <w:pPr>
        <w:ind w:left="1440" w:hanging="360"/>
      </w:pPr>
    </w:lvl>
    <w:lvl w:ilvl="2">
      <w:start w:val="1925"/>
      <w:numFmt w:val="decimal"/>
      <w:lvlText w:val="%3."/>
      <w:lvlJc w:val="left"/>
      <w:pPr>
        <w:ind w:left="2160" w:hanging="360"/>
      </w:pPr>
    </w:lvl>
    <w:lvl w:ilvl="3">
      <w:start w:val="1925"/>
      <w:numFmt w:val="decimal"/>
      <w:lvlText w:val="%4."/>
      <w:lvlJc w:val="left"/>
      <w:pPr>
        <w:ind w:left="2880" w:hanging="360"/>
      </w:pPr>
    </w:lvl>
    <w:lvl w:ilvl="4">
      <w:start w:val="1925"/>
      <w:numFmt w:val="decimal"/>
      <w:lvlText w:val="%5."/>
      <w:lvlJc w:val="left"/>
      <w:pPr>
        <w:ind w:left="3600" w:hanging="360"/>
      </w:pPr>
    </w:lvl>
    <w:lvl w:ilvl="5">
      <w:start w:val="1925"/>
      <w:numFmt w:val="decimal"/>
      <w:lvlText w:val="%6."/>
      <w:lvlJc w:val="left"/>
      <w:pPr>
        <w:ind w:left="4320" w:hanging="360"/>
      </w:pPr>
    </w:lvl>
    <w:lvl w:ilvl="6">
      <w:start w:val="1925"/>
      <w:numFmt w:val="decimal"/>
      <w:lvlText w:val="%7."/>
      <w:lvlJc w:val="left"/>
      <w:pPr>
        <w:ind w:left="5040" w:hanging="360"/>
      </w:pPr>
    </w:lvl>
    <w:lvl w:ilvl="7">
      <w:start w:val="1925"/>
      <w:numFmt w:val="decimal"/>
      <w:lvlText w:val="%8."/>
      <w:lvlJc w:val="left"/>
      <w:pPr>
        <w:ind w:left="5760" w:hanging="360"/>
      </w:pPr>
    </w:lvl>
    <w:lvl w:ilvl="8">
      <w:start w:val="192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925"/>
    <w:lvlOverride w:ilvl="0">
      <w:startOverride w:val="1925"/>
    </w:lvlOverride>
    <w:lvlOverride w:ilvl="1">
      <w:startOverride w:val="1925"/>
    </w:lvlOverride>
    <w:lvlOverride w:ilvl="2">
      <w:startOverride w:val="1925"/>
    </w:lvlOverride>
    <w:lvlOverride w:ilvl="3">
      <w:startOverride w:val="1925"/>
    </w:lvlOverride>
    <w:lvlOverride w:ilvl="4">
      <w:startOverride w:val="1925"/>
    </w:lvlOverride>
    <w:lvlOverride w:ilvl="5">
      <w:startOverride w:val="1925"/>
    </w:lvlOverride>
    <w:lvlOverride w:ilvl="6">
      <w:startOverride w:val="1925"/>
    </w:lvlOverride>
    <w:lvlOverride w:ilvl="7">
      <w:startOverride w:val="1925"/>
    </w:lvlOverride>
    <w:lvlOverride w:ilvl="8">
      <w:startOverride w:val="192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0" Target="media/rId50.png" /><Relationship Type="http://schemas.openxmlformats.org/officeDocument/2006/relationships/image" Id="rId10" Target="media/rId10.png" /><Relationship Type="http://schemas.openxmlformats.org/officeDocument/2006/relationships/image" Id="rId112" Target="media/rId112.png" /><Relationship Type="http://schemas.openxmlformats.org/officeDocument/2006/relationships/image" Id="rId54" Target="media/rId5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1" Target="media/rId31.png" /><Relationship Type="http://schemas.openxmlformats.org/officeDocument/2006/relationships/image" Id="rId116" Target="media/rId116.png" /><Relationship Type="http://schemas.openxmlformats.org/officeDocument/2006/relationships/image" Id="rId62" Target="media/rId62.png" /><Relationship Type="http://schemas.openxmlformats.org/officeDocument/2006/relationships/image" Id="rId36" Target="media/rId36.png" /><Relationship Type="http://schemas.openxmlformats.org/officeDocument/2006/relationships/image" Id="rId68" Target="media/rId68.png" /><Relationship Type="http://schemas.openxmlformats.org/officeDocument/2006/relationships/image" Id="rId40" Target="media/rId40.png" /><Relationship Type="http://schemas.openxmlformats.org/officeDocument/2006/relationships/image" Id="rId79" Target="media/rId79.png" /><Relationship Type="http://schemas.openxmlformats.org/officeDocument/2006/relationships/image" Id="rId46" Target="media/rId46.png" /><Relationship Type="http://schemas.openxmlformats.org/officeDocument/2006/relationships/image" Id="rId83" Target="media/rId83.png" /><Relationship Type="http://schemas.openxmlformats.org/officeDocument/2006/relationships/image" Id="rId75" Target="media/rId75.png" /><Relationship Type="http://schemas.openxmlformats.org/officeDocument/2006/relationships/image" Id="rId88" Target="media/rId88.png" /><Relationship Type="http://schemas.openxmlformats.org/officeDocument/2006/relationships/image" Id="rId100" Target="media/rId100.png" /><Relationship Type="http://schemas.openxmlformats.org/officeDocument/2006/relationships/image" Id="rId94" Target="media/rId94.png" /><Relationship Type="http://schemas.openxmlformats.org/officeDocument/2006/relationships/image" Id="rId104" Target="media/rId104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hyperlink" Id="rId131" Target="https://docs.sciml.ai/DiffEqDocs/stable/" TargetMode="External" /><Relationship Type="http://schemas.openxmlformats.org/officeDocument/2006/relationships/hyperlink" Id="rId133" Target="https://fredrikekre.github.io/Literate.jl/" TargetMode="External" /><Relationship Type="http://schemas.openxmlformats.org/officeDocument/2006/relationships/hyperlink" Id="rId132" Target="https://juliadynamics.github.io/DrWatson.jl/" TargetMode="External" /><Relationship Type="http://schemas.openxmlformats.org/officeDocument/2006/relationships/hyperlink" Id="rId134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ocs.sciml.ai/DiffEqDocs/stable/" TargetMode="External" /><Relationship Type="http://schemas.openxmlformats.org/officeDocument/2006/relationships/hyperlink" Id="rId133" Target="https://fredrikekre.github.io/Literate.jl/" TargetMode="External" /><Relationship Type="http://schemas.openxmlformats.org/officeDocument/2006/relationships/hyperlink" Id="rId132" Target="https://juliadynamics.github.io/DrWatson.jl/" TargetMode="External" /><Relationship Type="http://schemas.openxmlformats.org/officeDocument/2006/relationships/hyperlink" Id="rId134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Куокконен Дарина Андреевна</dc:creator>
  <dc:language>ru-RU</dc:language>
  <cp:keywords>Julia, SIR, Lotka–Volterra, DifferentialEquations.jl, DrWatson.jl, Jupyter, Quarto</cp:keywords>
  <dcterms:created xsi:type="dcterms:W3CDTF">2026-08-30T11:04:10Z</dcterms:created>
  <dcterms:modified xsi:type="dcterms:W3CDTF">2026-08-30T11:04:10Z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работе исследованы две нелинейные динамические системы. Для модели SIR определены базовое и эффективное репродуктивные числа, пик эпидемии и влияние интенсивности контактов. Для системы Лотки–Вольтерры найдены положения равновесия, построены временные и фазовые траектории, оценён период колебаний и проконтролировано сохранение первого интеграла. Расчёты выполнены в Julia, результаты представлены таблицами, графиками и выполненными блокнотами Jupyter; корректность реализации подтверждена автоматическими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2026-08-29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Динамические модели SIR и Лотки–Вольтерры</vt:lpwstr>
  </property>
  <property fmtid="{D5CDD505-2E9C-101B-9397-08002B2CF9AE}" pid="15" name="toc-title">
    <vt:lpwstr>Содержание</vt:lpwstr>
  </property>
</Properties>
</file>