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7.png" ContentType="image/png"/>
  <Override PartName="/word/media/rId181.png" ContentType="image/png"/>
  <Override PartName="/word/media/rId96.png" ContentType="image/png"/>
  <Override PartName="/word/media/rId48.png" ContentType="image/png"/>
  <Override PartName="/word/media/rId21.png" ContentType="image/png"/>
  <Override PartName="/word/media/rId100.png" ContentType="image/png"/>
  <Override PartName="/word/media/rId58.png" ContentType="image/png"/>
  <Override PartName="/word/media/rId25.png" ContentType="image/png"/>
  <Override PartName="/word/media/rId104.png" ContentType="image/png"/>
  <Override PartName="/word/media/rId62.png" ContentType="image/png"/>
  <Override PartName="/word/media/rId10.png" ContentType="image/png"/>
  <Override PartName="/word/media/rId108.png" ContentType="image/png"/>
  <Override PartName="/word/media/rId66.png" ContentType="image/png"/>
  <Override PartName="/word/media/rId29.png" ContentType="image/png"/>
  <Override PartName="/word/media/rId112.png" ContentType="image/png"/>
  <Override PartName="/word/media/rId70.png" ContentType="image/png"/>
  <Override PartName="/word/media/rId40.png" ContentType="image/png"/>
  <Override PartName="/word/media/rId116.png" ContentType="image/png"/>
  <Override PartName="/word/media/rId44.png" ContentType="image/png"/>
  <Override PartName="/word/media/rId120.png" ContentType="image/png"/>
  <Override PartName="/word/media/rId80.png" ContentType="image/png"/>
  <Override PartName="/word/media/rId34.png" ContentType="image/png"/>
  <Override PartName="/word/media/rId54.png" ContentType="image/png"/>
  <Override PartName="/word/media/rId74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24.png" ContentType="image/png"/>
  <Override PartName="/word/media/rId129.png" ContentType="image/png"/>
  <Override PartName="/word/media/rId133.png" ContentType="image/png"/>
  <Override PartName="/word/media/rId13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4</w:t>
      </w:r>
    </w:p>
    <w:p>
      <w:pPr>
        <w:pStyle w:val="Subtitle"/>
      </w:pPr>
      <w:r>
        <w:t xml:space="preserve">Имитационная модель TCP/Reno и активного управления очередью RED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2026-08-30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Построена имитационная модель 25 конкурирующих потоков TCP/Reno, проходящих</w:t>
      </w:r>
      <w:r>
        <w:t xml:space="preserve"> </w:t>
      </w:r>
      <w:r>
        <w:t xml:space="preserve">через узкое место 20 Мбит/с с активной очередью RED. Исследованы окно</w:t>
      </w:r>
      <w:r>
        <w:t xml:space="preserve"> </w:t>
      </w:r>
      <w:r>
        <w:t xml:space="preserve">перегрузки, мгновенная и сглаженная длины очереди, вероятность раннего сброса</w:t>
      </w:r>
      <w:r>
        <w:t xml:space="preserve"> </w:t>
      </w:r>
      <w:r>
        <w:t xml:space="preserve">и пропускная способность. Проведён параметрический эксперимент по числу</w:t>
      </w:r>
      <w:r>
        <w:t xml:space="preserve"> </w:t>
      </w:r>
      <w:r>
        <w:t xml:space="preserve">потоков; реализация проверена автоматическими тестами.</w:t>
      </w:r>
    </w:p>
    <w:bookmarkStart w:id="150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задание</w:t>
      </w:r>
    </w:p>
    <w:p>
      <w:pPr>
        <w:pStyle w:val="Compact"/>
        <w:numPr>
          <w:ilvl w:val="0"/>
          <w:numId w:val="1001"/>
        </w:numPr>
      </w:pPr>
      <w:r>
        <w:t xml:space="preserve">Механизмы TCP/Reno и RED</w:t>
      </w:r>
    </w:p>
    <w:p>
      <w:pPr>
        <w:pStyle w:val="Compact"/>
        <w:numPr>
          <w:ilvl w:val="0"/>
          <w:numId w:val="1001"/>
        </w:numPr>
      </w:pPr>
      <w:r>
        <w:t xml:space="preserve">Структура модели</w:t>
      </w:r>
    </w:p>
    <w:p>
      <w:pPr>
        <w:pStyle w:val="Compact"/>
        <w:numPr>
          <w:ilvl w:val="0"/>
          <w:numId w:val="1001"/>
        </w:numPr>
      </w:pPr>
      <w:r>
        <w:t xml:space="preserve">Базовый эксперимент</w:t>
      </w:r>
    </w:p>
    <w:p>
      <w:pPr>
        <w:pStyle w:val="Compact"/>
        <w:numPr>
          <w:ilvl w:val="0"/>
          <w:numId w:val="1001"/>
        </w:numPr>
      </w:pPr>
      <w:r>
        <w:t xml:space="preserve">Исследование числа потоков</w:t>
      </w:r>
    </w:p>
    <w:p>
      <w:pPr>
        <w:pStyle w:val="Compact"/>
        <w:numPr>
          <w:ilvl w:val="0"/>
          <w:numId w:val="1001"/>
        </w:numPr>
      </w:pPr>
      <w:r>
        <w:t xml:space="preserve">Воспроизводимость и проверка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r>
        <w:br w:type="page"/>
      </w:r>
    </w:p>
    <w:bookmarkEnd w:id="150"/>
    <w:bookmarkStart w:id="151" w:name="цель-и-задание"/>
    <w:p>
      <w:pPr>
        <w:pStyle w:val="Heading1"/>
      </w:pPr>
      <w:r>
        <w:t xml:space="preserve">1. Цель и задание</w:t>
      </w:r>
    </w:p>
    <w:p>
      <w:pPr>
        <w:pStyle w:val="FirstParagraph"/>
      </w:pPr>
      <w:r>
        <w:t xml:space="preserve">Цель работы — исследовать совместную динамику алгоритма управления перегрузкой</w:t>
      </w:r>
      <w:r>
        <w:t xml:space="preserve"> </w:t>
      </w:r>
      <w:r>
        <w:t xml:space="preserve">TCP/Reno и активного управления очередью RED в многопоточной сети.</w:t>
      </w:r>
    </w:p>
    <w:p>
      <w:pPr>
        <w:pStyle w:val="BodyText"/>
      </w:pPr>
      <w:r>
        <w:t xml:space="preserve">Выполнены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построена схема с 25 источниками, двумя маршрутизаторами и узким местом;</w:t>
      </w:r>
    </w:p>
    <w:p>
      <w:pPr>
        <w:pStyle w:val="Compact"/>
        <w:numPr>
          <w:ilvl w:val="0"/>
          <w:numId w:val="1002"/>
        </w:numPr>
      </w:pPr>
      <w:r>
        <w:t xml:space="preserve">реализованы медленный старт, аддитивное увеличение и мультипликативное</w:t>
      </w:r>
      <w:r>
        <w:t xml:space="preserve"> </w:t>
      </w:r>
      <w:r>
        <w:t xml:space="preserve">уменьшение окна TCP;</w:t>
      </w:r>
    </w:p>
    <w:p>
      <w:pPr>
        <w:pStyle w:val="Compact"/>
        <w:numPr>
          <w:ilvl w:val="0"/>
          <w:numId w:val="1002"/>
        </w:numPr>
      </w:pPr>
      <w:r>
        <w:t xml:space="preserve">реализовано экспоненциальное сглаживание очереди и ранний сброс RED;</w:t>
      </w:r>
    </w:p>
    <w:p>
      <w:pPr>
        <w:pStyle w:val="Compact"/>
        <w:numPr>
          <w:ilvl w:val="0"/>
          <w:numId w:val="1002"/>
        </w:numPr>
      </w:pPr>
      <w:r>
        <w:t xml:space="preserve">построены графики окна, очереди, вероятности сброса и throughput;</w:t>
      </w:r>
    </w:p>
    <w:p>
      <w:pPr>
        <w:pStyle w:val="Compact"/>
        <w:numPr>
          <w:ilvl w:val="0"/>
          <w:numId w:val="1002"/>
        </w:numPr>
      </w:pPr>
      <w:r>
        <w:t xml:space="preserve">исследовано влияние количества конкурирующих потоков;</w:t>
      </w:r>
    </w:p>
    <w:p>
      <w:pPr>
        <w:pStyle w:val="Compact"/>
        <w:numPr>
          <w:ilvl w:val="0"/>
          <w:numId w:val="1002"/>
        </w:numPr>
      </w:pPr>
      <w:r>
        <w:t xml:space="preserve">подготовлены данные, блокноты, документация и тесты.</w:t>
      </w:r>
    </w:p>
    <w:bookmarkEnd w:id="151"/>
    <w:bookmarkStart w:id="155" w:name="механизмы-tcpreno-и-red"/>
    <w:p>
      <w:pPr>
        <w:pStyle w:val="Heading1"/>
      </w:pPr>
      <w:r>
        <w:t xml:space="preserve">2. Механизмы TCP/Reno и RED</w:t>
      </w:r>
    </w:p>
    <w:p>
      <w:pPr>
        <w:pStyle w:val="FirstParagraph"/>
      </w:pPr>
      <w:r>
        <w:t xml:space="preserve">TCP/Reno управляет окном перегрузки</w:t>
      </w:r>
      <w:r>
        <w:t xml:space="preserve"> </w:t>
      </w:r>
      <m:oMath>
        <m:r>
          <m:t>c</m:t>
        </m:r>
        <m:r>
          <m:t>w</m:t>
        </m:r>
        <m:r>
          <m:t>n</m:t>
        </m:r>
        <m:r>
          <m:t>d</m:t>
        </m:r>
      </m:oMath>
      <w:r>
        <w:t xml:space="preserve">. При отсутствии потерь окно растёт:</w:t>
      </w:r>
      <w:r>
        <w:t xml:space="preserve"> </w:t>
      </w:r>
      <w:r>
        <w:t xml:space="preserve">быстро в фазе slow start и примерно на один пакет за RTT в режиме congestion</w:t>
      </w:r>
      <w:r>
        <w:t xml:space="preserve"> </w:t>
      </w:r>
      <w:r>
        <w:t xml:space="preserve">avoidance. Сигнал перегрузки вызывает мультипликативное уменьшение</w:t>
      </w:r>
    </w:p>
    <w:p>
      <w:pPr>
        <w:pStyle w:val="BodyText"/>
      </w:pPr>
      <w:bookmarkStart w:id="152" w:name="eq-aimd"/>
      <m:oMathPara>
        <m:oMathParaPr>
          <m:jc m:val="center"/>
        </m:oMathParaPr>
        <m:oMath>
          <m:r>
            <m:t>c</m:t>
          </m:r>
          <m:r>
            <m:t>w</m:t>
          </m:r>
          <m:r>
            <m:t>n</m:t>
          </m:r>
          <m:r>
            <m:t>d</m:t>
          </m:r>
          <m:r>
            <m:rPr>
              <m:sty m:val="p"/>
            </m:rPr>
            <m:t>←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c</m:t>
                  </m:r>
                  <m:r>
                    <m:t>w</m:t>
                  </m:r>
                  <m:r>
                    <m:t>n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RED принимает решение по сглаженной очереди</w:t>
      </w:r>
    </w:p>
    <w:p>
      <w:pPr>
        <w:pStyle w:val="BodyText"/>
      </w:pPr>
      <w:bookmarkStart w:id="153" w:name="eq-ewma"/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)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Вероятность раннего сброса задаётся кусочно-линейно:</w:t>
      </w:r>
    </w:p>
    <w:p>
      <w:pPr>
        <w:pStyle w:val="BodyText"/>
      </w:pPr>
      <w:bookmarkStart w:id="154" w:name="eq-red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q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‾"/>
                      </m:accPr>
                      <m:e>
                        <m:r>
                          <m:t>q</m:t>
                        </m:r>
                      </m:e>
                    </m:acc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acc>
                          <m:accPr>
                            <m:chr m:val="‾"/>
                          </m:accPr>
                          <m:e>
                            <m:r>
                              <m:t>q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a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acc>
                      <m:accPr>
                        <m:chr m:val="‾"/>
                      </m:accPr>
                      <m:e>
                        <m:r>
                          <m:t>q</m:t>
                        </m:r>
                      </m:e>
                    </m:acc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‾"/>
                      </m:accPr>
                      <m:e>
                        <m:r>
                          <m:t>q</m:t>
                        </m:r>
                      </m:e>
                    </m:acc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За счёт (</w:t>
      </w:r>
      <w:hyperlink w:anchor="eq-ewma">
        <w:r>
          <w:rPr>
            <w:rStyle w:val="Hyperlink"/>
          </w:rPr>
          <w:t xml:space="preserve">Уравнение 2</w:t>
        </w:r>
      </w:hyperlink>
      <w:r>
        <w:t xml:space="preserve">) алгоритм не реагирует на единичные всплески, но начинает</w:t>
      </w:r>
      <w:r>
        <w:t xml:space="preserve"> </w:t>
      </w:r>
      <w:r>
        <w:t xml:space="preserve">сигнализировать о перегрузке до заполнения физического буфера.</w:t>
      </w:r>
    </w:p>
    <w:bookmarkEnd w:id="155"/>
    <w:bookmarkStart w:id="157" w:name="структура-модели"/>
    <w:p>
      <w:pPr>
        <w:pStyle w:val="Heading1"/>
      </w:pPr>
      <w:r>
        <w:t xml:space="preserve">3. Структура модели</w:t>
      </w:r>
    </w:p>
    <w:p>
      <w:pPr>
        <w:pStyle w:val="FirstParagraph"/>
      </w:pPr>
      <w:r>
        <w:t xml:space="preserve">Моделируется «гантелеобразная» топология: источники подключены к первому</w:t>
      </w:r>
      <w:r>
        <w:t xml:space="preserve"> </w:t>
      </w:r>
      <w:r>
        <w:t xml:space="preserve">маршрутизатору быстрыми линиями, между маршрутизаторами находится узкое место,</w:t>
      </w:r>
      <w:r>
        <w:t xml:space="preserve"> </w:t>
      </w:r>
      <w:r>
        <w:t xml:space="preserve">после второго маршрутизатора трафик поступает получателям.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Параметры базового эксперимента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TCP/Reno-потоков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Пропускная способность узкого места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 Мбит/с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Задержка линии между маршрутизаторами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мс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 пакета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 байт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Базовый RTT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 мс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Буфер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 пакетов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/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q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 / 150 пакетов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моделирования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с</w:t>
                  </w:r>
                </w:p>
              </w:tc>
            </w:tr>
          </w:tbl>
          <w:bookmarkEnd w:id="156"/>
          <w:p/>
        </w:tc>
      </w:tr>
    </w:tbl>
    <w:p>
      <w:pPr>
        <w:pStyle w:val="BodyText"/>
      </w:pPr>
      <w:r>
        <w:t xml:space="preserve">В каждый момент скорость потока оценивается как</w:t>
      </w:r>
      <w:r>
        <w:t xml:space="preserve"> </w:t>
      </w:r>
      <m:oMath>
        <m:r>
          <m:t>c</m:t>
        </m:r>
        <m:r>
          <m:t>w</m:t>
        </m:r>
        <m:r>
          <m:t>n</m:t>
        </m:r>
        <m:r>
          <m:t>d</m:t>
        </m:r>
        <m:r>
          <m:rPr>
            <m:sty m:val="p"/>
          </m:rPr>
          <m:t>/</m:t>
        </m:r>
        <m:r>
          <m:t>R</m:t>
        </m:r>
        <m:r>
          <m:t>T</m:t>
        </m:r>
        <m:r>
          <m:t>T</m:t>
        </m:r>
      </m:oMath>
      <w:r>
        <w:t xml:space="preserve">, где RTT включает</w:t>
      </w:r>
      <w:r>
        <w:t xml:space="preserve"> </w:t>
      </w:r>
      <w:r>
        <w:t xml:space="preserve">задержку накопленной очереди. Принятые пакеты добавляются в буфер, после чего</w:t>
      </w:r>
      <w:r>
        <w:t xml:space="preserve"> </w:t>
      </w:r>
      <w:r>
        <w:t xml:space="preserve">обслуживаются с физической скоростью линии. Для каждого потока независимо</w:t>
      </w:r>
      <w:r>
        <w:t xml:space="preserve"> </w:t>
      </w:r>
      <w:r>
        <w:t xml:space="preserve">разыгрывается сигнал RED.</w:t>
      </w:r>
    </w:p>
    <w:p>
      <w:pPr>
        <w:pStyle w:val="SourceCode"/>
      </w:pPr>
      <w:r>
        <w:rPr>
          <w:rStyle w:val="NormalTok"/>
        </w:rPr>
        <w:t xml:space="preserve">rtt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propagation_rtt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service_rate</w:t>
      </w:r>
      <w:r>
        <w:br/>
      </w:r>
      <w:r>
        <w:rPr>
          <w:rStyle w:val="NormalTok"/>
        </w:rPr>
        <w:t xml:space="preserve">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cwnd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rtt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red_probability</w:t>
      </w:r>
      <w:r>
        <w:rPr>
          <w:rStyle w:val="NormalTok"/>
        </w:rPr>
        <w:t xml:space="preserve">(qavg, red)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(rng)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p)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sent[i]</w:t>
      </w:r>
      <w:r>
        <w:br/>
      </w:r>
      <w:r>
        <w:rPr>
          <w:rStyle w:val="NormalTok"/>
        </w:rPr>
        <w:t xml:space="preserve">    cwnd[i]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(cwnd[i]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cwnd[i]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rtt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 — Обновление окна одного TCP-потока</w:t>
      </w:r>
    </w:p>
    <w:bookmarkEnd w:id="157"/>
    <w:bookmarkStart w:id="175" w:name="базовый-эксперимент"/>
    <w:p>
      <w:pPr>
        <w:pStyle w:val="Heading1"/>
      </w:pPr>
      <w:r>
        <w:t xml:space="preserve">4. Базовый эксперимент</w:t>
      </w:r>
    </w:p>
    <w:p>
      <w:pPr>
        <w:pStyle w:val="FirstParagraph"/>
      </w:pPr>
      <w:r>
        <w:t xml:space="preserve">После переходного процесса средние показатели составили: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Результаты базового эксперимента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Среднее окно одного потока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24,5234 пакета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мгновенная очередь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58,7519 пакета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EWMA-очередь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56,4558 пакета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пропускная способность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18,7654 Мбит/с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сигналов потери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446</w:t>
                  </w:r>
                </w:p>
              </w:tc>
            </w:tr>
          </w:tbl>
          <w:bookmarkEnd w:id="158"/>
          <w:p/>
        </w:tc>
      </w:tr>
    </w:tbl>
    <w:p>
      <w:pPr>
        <w:pStyle w:val="BodyText"/>
      </w:pPr>
      <w:r>
        <w:t xml:space="preserve">Окно первого потока демонстрирует характерную пилообразную динамику AIMD:</w:t>
      </w:r>
      <w:r>
        <w:t xml:space="preserve"> </w:t>
      </w:r>
      <w:r>
        <w:t xml:space="preserve">плавный рост чередуется с быстрым делением пополам. Усреднение по потокам</w:t>
      </w:r>
      <w:r>
        <w:t xml:space="preserve"> </w:t>
      </w:r>
      <w:r>
        <w:t xml:space="preserve">сглаживает индивидуальные потери.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wnd"/>
          <w:p>
            <w:pPr>
              <w:pStyle w:val="Compact"/>
              <w:jc w:val="center"/>
            </w:pPr>
            <w:r>
              <w:drawing>
                <wp:inline>
                  <wp:extent cx="4800600" cy="297037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70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Окно перегрузки TCP/Reno</w:t>
            </w:r>
          </w:p>
          <w:bookmarkEnd w:id="162"/>
        </w:tc>
      </w:tr>
    </w:tbl>
    <w:p>
      <w:pPr>
        <w:pStyle w:val="BodyText"/>
      </w:pPr>
      <w:r>
        <w:t xml:space="preserve">Мгновенная очередь изменяется быстрее EWMA. В базовом режиме среднее значение</w:t>
      </w:r>
      <w:r>
        <w:t xml:space="preserve"> </w:t>
      </w:r>
      <w:r>
        <w:t xml:space="preserve">остаётся ниже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однако всплески и накопленная сглаженная оценка</w:t>
      </w:r>
      <w:r>
        <w:t xml:space="preserve"> </w:t>
      </w:r>
      <w:r>
        <w:t xml:space="preserve">периодически активируют ранний сброс.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queue"/>
          <w:p>
            <w:pPr>
              <w:pStyle w:val="Compact"/>
              <w:jc w:val="center"/>
            </w:pPr>
            <w:r>
              <w:drawing>
                <wp:inline>
                  <wp:extent cx="4800600" cy="297037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70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Мгновенная и сглаженная очереди RED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drop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Вероятность раннего сброса</w:t>
            </w:r>
          </w:p>
          <w:bookmarkEnd w:id="170"/>
        </w:tc>
      </w:tr>
    </w:tbl>
    <w:p>
      <w:pPr>
        <w:pStyle w:val="BodyText"/>
      </w:pPr>
      <w:r>
        <w:t xml:space="preserve">Линия большую часть времени используется почти полностью. Краткие провалы</w:t>
      </w:r>
      <w:r>
        <w:t xml:space="preserve"> </w:t>
      </w:r>
      <w:r>
        <w:t xml:space="preserve">связаны с синхронной реакцией части потоков на сигналы перегрузки.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throughput"/>
          <w:p>
            <w:pPr>
              <w:pStyle w:val="Compact"/>
              <w:jc w:val="center"/>
            </w:pPr>
            <w:r>
              <w:drawing>
                <wp:inline>
                  <wp:extent cx="4800600" cy="297037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703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Пропускная способность узкого места</w:t>
            </w:r>
          </w:p>
          <w:bookmarkEnd w:id="174"/>
        </w:tc>
      </w:tr>
    </w:tbl>
    <w:bookmarkEnd w:id="175"/>
    <w:bookmarkStart w:id="185" w:name="исследование-числа-потоков"/>
    <w:p>
      <w:pPr>
        <w:pStyle w:val="Heading1"/>
      </w:pPr>
      <w:r>
        <w:t xml:space="preserve">5. Исследование числа потоков</w:t>
      </w:r>
    </w:p>
    <w:p>
      <w:pPr>
        <w:pStyle w:val="FirstParagraph"/>
      </w:pPr>
      <w:r>
        <w:t xml:space="preserve">Число соединений изменялось от 5 до 40. Для каждого варианта использовалось</w:t>
      </w:r>
      <w:r>
        <w:t xml:space="preserve"> </w:t>
      </w:r>
      <w:r>
        <w:t xml:space="preserve">отдельное фиксированное начальное число генератора.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tbl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Влияние числа конкурирующих потоков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Потоки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Throughput, Мбит/с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Средняя очередь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Среднее окно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Потери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38,3260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124,0190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19,6181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45,3713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62,4388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18,5747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41,1950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39,3207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47,9929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29,6584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53,3248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23,9354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63,9456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20,5946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69,0914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15,6248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1063</w:t>
                  </w:r>
                </w:p>
              </w:tc>
            </w:tr>
          </w:tbl>
          <w:bookmarkEnd w:id="1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flow-throughput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Использование узкого места при разном числе потоков</w:t>
            </w:r>
          </w:p>
          <w:bookmarkEnd w:id="180"/>
        </w:tc>
      </w:tr>
    </w:tbl>
    <w:p>
      <w:pPr>
        <w:pStyle w:val="BodyText"/>
      </w:pPr>
      <w:r>
        <w:t xml:space="preserve">С ростом конкуренции индивидуальное окно уменьшается, а число сигналов потери</w:t>
      </w:r>
      <w:r>
        <w:t xml:space="preserve"> </w:t>
      </w:r>
      <w:r>
        <w:t xml:space="preserve">растёт. RED удерживает среднюю очередь существенно ниже предела 300 пакетов.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flow-queue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image/06-plo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Средняя очередь при разном числе потоков</w:t>
            </w:r>
          </w:p>
          <w:bookmarkEnd w:id="184"/>
        </w:tc>
      </w:tr>
    </w:tbl>
    <w:bookmarkEnd w:id="185"/>
    <w:bookmarkStart w:id="186" w:name="воспроизводимость-и-проверка"/>
    <w:p>
      <w:pPr>
        <w:pStyle w:val="Heading1"/>
      </w:pPr>
      <w:r>
        <w:t xml:space="preserve">6. Воспроизводимость и проверка</w:t>
      </w:r>
    </w:p>
    <w:p>
      <w:pPr>
        <w:pStyle w:val="FirstParagraph"/>
      </w:pPr>
      <w:r>
        <w:t xml:space="preserve">Проект закреплён файлами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 Литературные</w:t>
      </w:r>
      <w:r>
        <w:t xml:space="preserve"> </w:t>
      </w:r>
      <w:r>
        <w:t xml:space="preserve">сценарии порождают Julia, QMD и IPYNB; CSV и PNG пересоздаются командой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.</w:t>
      </w:r>
    </w:p>
    <w:p>
      <w:pPr>
        <w:pStyle w:val="BodyText"/>
      </w:pPr>
      <w:r>
        <w:t xml:space="preserve">Тесты проверяют кусочно-линейную функцию RED, границы очереди и вероятности,</w:t>
      </w:r>
      <w:r>
        <w:t xml:space="preserve"> </w:t>
      </w:r>
      <w:r>
        <w:t xml:space="preserve">минимальное окно TCP, ограничение throughput физической ёмкостью, наличие</w:t>
      </w:r>
      <w:r>
        <w:t xml:space="preserve"> </w:t>
      </w:r>
      <w:r>
        <w:t xml:space="preserve">доставленных пакетов и появление потерь в нагруженном режиме. Пройдено 10</w:t>
      </w:r>
      <w:r>
        <w:t xml:space="preserve"> </w:t>
      </w:r>
      <w:r>
        <w:t xml:space="preserve">проверок.</w:t>
      </w:r>
    </w:p>
    <w:bookmarkEnd w:id="186"/>
    <w:bookmarkStart w:id="187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Построена воспроизводимая модель TCP/Reno с RED. В режиме 25 потоков узкое</w:t>
      </w:r>
      <w:r>
        <w:t xml:space="preserve"> </w:t>
      </w:r>
      <w:r>
        <w:t xml:space="preserve">место обеспечивает в среднем 18,77 Мбит/с, а очередь остаётся значительно ниже</w:t>
      </w:r>
      <w:r>
        <w:t xml:space="preserve"> </w:t>
      </w:r>
      <w:r>
        <w:t xml:space="preserve">физического лимита. Наблюдается ожидаемая пилообразная динамика окна AIMD.</w:t>
      </w:r>
      <w:r>
        <w:t xml:space="preserve"> </w:t>
      </w:r>
      <w:r>
        <w:t xml:space="preserve">Параметрический эксперимент показал уменьшение индивидуального окна и рост</w:t>
      </w:r>
      <w:r>
        <w:t xml:space="preserve"> </w:t>
      </w:r>
      <w:r>
        <w:t xml:space="preserve">числа сигналов перегрузки при увеличении конкуренции, при этом RED предотвращает</w:t>
      </w:r>
      <w:r>
        <w:t xml:space="preserve"> </w:t>
      </w:r>
      <w:r>
        <w:t xml:space="preserve">неограниченное накопление пакетов.</w:t>
      </w:r>
    </w:p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9" Target="numbering.xml" /><Relationship Type="http://schemas.openxmlformats.org/officeDocument/2006/relationships/styles" Id="rId148" Target="styles.xml" /><Relationship Type="http://schemas.openxmlformats.org/officeDocument/2006/relationships/settings" Id="rId147" Target="settings.xml" /><Relationship Type="http://schemas.openxmlformats.org/officeDocument/2006/relationships/webSettings" Id="rId146" Target="webSettings.xml" /><Relationship Type="http://schemas.openxmlformats.org/officeDocument/2006/relationships/fontTable" Id="rId145" Target="fontTable.xml" /><Relationship Type="http://schemas.openxmlformats.org/officeDocument/2006/relationships/theme" Id="rId144" Target="theme/theme1.xml" /><Relationship Type="http://schemas.openxmlformats.org/officeDocument/2006/relationships/footnotes" Id="rId143" Target="footnotes.xml" /><Relationship Type="http://schemas.openxmlformats.org/officeDocument/2006/relationships/comments" Id="rId142" Target="comments.xml" /><Relationship Id="rId96" Target="media/rId96.png" Type="http://schemas.openxmlformats.org/officeDocument/2006/relationships/image" /><Relationship Id="rId48" Target="media/rId48.png" Type="http://schemas.openxmlformats.org/officeDocument/2006/relationships/image" /><Relationship Id="rId21" Target="media/rId21.png" Type="http://schemas.openxmlformats.org/officeDocument/2006/relationships/image" /><Relationship Id="rId100" Target="media/rId100.png" Type="http://schemas.openxmlformats.org/officeDocument/2006/relationships/image" /><Relationship Id="rId58" Target="media/rId58.png" Type="http://schemas.openxmlformats.org/officeDocument/2006/relationships/image" /><Relationship Id="rId25" Target="media/rId25.png" Type="http://schemas.openxmlformats.org/officeDocument/2006/relationships/image" /><Relationship Id="rId104" Target="media/rId104.png" Type="http://schemas.openxmlformats.org/officeDocument/2006/relationships/image" /><Relationship Id="rId62" Target="media/rId62.png" Type="http://schemas.openxmlformats.org/officeDocument/2006/relationships/image" /><Relationship Id="rId10" Target="media/rId10.png" Type="http://schemas.openxmlformats.org/officeDocument/2006/relationships/image" /><Relationship Id="rId108" Target="media/rId108.png" Type="http://schemas.openxmlformats.org/officeDocument/2006/relationships/image" /><Relationship Id="rId66" Target="media/rId66.png" Type="http://schemas.openxmlformats.org/officeDocument/2006/relationships/image" /><Relationship Id="rId29" Target="media/rId29.png" Type="http://schemas.openxmlformats.org/officeDocument/2006/relationships/image" /><Relationship Id="rId112" Target="media/rId112.png" Type="http://schemas.openxmlformats.org/officeDocument/2006/relationships/image" /><Relationship Id="rId70" Target="media/rId70.png" Type="http://schemas.openxmlformats.org/officeDocument/2006/relationships/image" /><Relationship Id="rId40" Target="media/rId40.png" Type="http://schemas.openxmlformats.org/officeDocument/2006/relationships/image" /><Relationship Id="rId116" Target="media/rId116.png" Type="http://schemas.openxmlformats.org/officeDocument/2006/relationships/image" /><Relationship Id="rId44" Target="media/rId44.png" Type="http://schemas.openxmlformats.org/officeDocument/2006/relationships/image" /><Relationship Id="rId120" Target="media/rId120.png" Type="http://schemas.openxmlformats.org/officeDocument/2006/relationships/image" /><Relationship Id="rId80" Target="media/rId80.png" Type="http://schemas.openxmlformats.org/officeDocument/2006/relationships/image" /><Relationship Id="rId34" Target="media/rId34.png" Type="http://schemas.openxmlformats.org/officeDocument/2006/relationships/image" /><Relationship Id="rId54" Target="media/rId54.png" Type="http://schemas.openxmlformats.org/officeDocument/2006/relationships/image" /><Relationship Id="rId74" Target="media/rId74.png" Type="http://schemas.openxmlformats.org/officeDocument/2006/relationships/image" /><Relationship Id="rId84" Target="media/rId84.png" Type="http://schemas.openxmlformats.org/officeDocument/2006/relationships/image" /><Relationship Id="rId88" Target="media/rId88.png" Type="http://schemas.openxmlformats.org/officeDocument/2006/relationships/image" /><Relationship Id="rId92" Target="media/rId92.png" Type="http://schemas.openxmlformats.org/officeDocument/2006/relationships/image" /><Relationship Id="rId124" Target="media/rId124.png" Type="http://schemas.openxmlformats.org/officeDocument/2006/relationships/image" /><Relationship Id="rId129" Target="media/rId129.png" Type="http://schemas.openxmlformats.org/officeDocument/2006/relationships/image" /><Relationship Id="rId133" Target="media/rId133.png" Type="http://schemas.openxmlformats.org/officeDocument/2006/relationships/image" /><Relationship Id="rId137" Target="media/rId137.png" Type="http://schemas.openxmlformats.org/officeDocument/2006/relationships/image" /><Relationship Id="rId141" Target="media/rId141.png" Type="http://schemas.openxmlformats.org/officeDocument/2006/relationships/image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</dc:title>
  <dc:creator>Куокконен Дарина Андреевна</dc:creator>
  <dc:language>ru-RU</dc:language>
  <cp:keywords>Julia, TCP Reno, RED, congestion control, queue, simulation</cp:keywords>
  <dcterms:created xsi:type="dcterms:W3CDTF">2026-08-29T21:44:38Z</dcterms:created>
  <dcterms:modified xsi:type="dcterms:W3CDTF">2026-08-29T21:44:38Z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Построена имитационная модель 25 конкурирующих потоков TCP/Reno, проходящих через узкое место 20 Мбит/с с активной очередью RED. Исследованы окно перегрузки, мгновенная и сглаженная длины очереди, вероятность раннего сброса и пропускная способность. Проведён параметрический эксперимент по числу потоков; реализация проверена автоматическими тестами.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date">
    <vt:lpwstr>2026-08-30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Имитационная модель TCP/Reno и активного управления очередью RED</vt:lpwstr>
  </property>
  <property fmtid="{D5CDD505-2E9C-101B-9397-08002B2CF9AE}" pid="17" name="toc-title">
    <vt:lpwstr>Содержание</vt:lpwstr>
  </property>
</Properties>
</file>