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633" w:rsidRDefault="0085726D" w:rsidP="001B793C">
      <w:pPr>
        <w:pStyle w:val="Title"/>
      </w:pPr>
      <w:r>
        <w:t xml:space="preserve">The Social Credit System (SCS) and its impact on </w:t>
      </w:r>
      <w:r w:rsidR="008F1A17">
        <w:t xml:space="preserve">the </w:t>
      </w:r>
      <w:r>
        <w:t xml:space="preserve">economic growth of </w:t>
      </w:r>
      <w:r w:rsidR="005A25F3">
        <w:t xml:space="preserve">clothing </w:t>
      </w:r>
      <w:r>
        <w:t>manufacturing companies in China</w:t>
      </w:r>
    </w:p>
    <w:p w:rsidR="0085726D" w:rsidRDefault="008D5F5F" w:rsidP="001B793C">
      <w:pPr>
        <w:pStyle w:val="Heading2"/>
        <w:pBdr>
          <w:bottom w:val="single" w:sz="6" w:space="1" w:color="auto"/>
        </w:pBdr>
        <w:spacing w:line="360" w:lineRule="auto"/>
        <w:rPr>
          <w:color w:val="auto"/>
        </w:rPr>
      </w:pPr>
      <w:r>
        <w:rPr>
          <w:color w:val="auto"/>
        </w:rPr>
        <w:t>April 27</w:t>
      </w:r>
      <w:r w:rsidR="0085726D" w:rsidRPr="0085726D">
        <w:rPr>
          <w:color w:val="auto"/>
        </w:rPr>
        <w:t>, 2019</w:t>
      </w:r>
    </w:p>
    <w:p w:rsidR="0085726D" w:rsidRDefault="0085726D" w:rsidP="001B793C">
      <w:pPr>
        <w:spacing w:line="360" w:lineRule="auto"/>
      </w:pPr>
    </w:p>
    <w:p w:rsidR="0006124A" w:rsidRPr="00D95CC5" w:rsidRDefault="0085726D" w:rsidP="00D95CC5">
      <w:pPr>
        <w:pStyle w:val="NoSpacing"/>
        <w:rPr>
          <w:sz w:val="24"/>
          <w:szCs w:val="24"/>
        </w:rPr>
      </w:pPr>
      <w:r w:rsidRPr="00D95CC5">
        <w:rPr>
          <w:sz w:val="24"/>
          <w:szCs w:val="24"/>
        </w:rPr>
        <w:t xml:space="preserve">David Jan-Liu </w:t>
      </w:r>
    </w:p>
    <w:p w:rsidR="00D95CC5" w:rsidRDefault="000B1DF1" w:rsidP="00D95CC5">
      <w:pPr>
        <w:pStyle w:val="NoSpacing"/>
        <w:rPr>
          <w:sz w:val="24"/>
          <w:szCs w:val="24"/>
        </w:rPr>
      </w:pPr>
      <w:hyperlink r:id="rId8" w:history="1">
        <w:r w:rsidR="00D95CC5" w:rsidRPr="00D50970">
          <w:rPr>
            <w:rStyle w:val="Hyperlink"/>
            <w:sz w:val="24"/>
            <w:szCs w:val="24"/>
          </w:rPr>
          <w:t>dal2111@bu.edu</w:t>
        </w:r>
      </w:hyperlink>
    </w:p>
    <w:p w:rsidR="00D95CC5" w:rsidRPr="00D95CC5" w:rsidRDefault="00D95CC5" w:rsidP="00D95CC5">
      <w:pPr>
        <w:pStyle w:val="NoSpacing"/>
        <w:rPr>
          <w:sz w:val="24"/>
          <w:szCs w:val="24"/>
        </w:rPr>
      </w:pPr>
    </w:p>
    <w:p w:rsidR="0006124A" w:rsidRDefault="0006124A" w:rsidP="001B793C">
      <w:pPr>
        <w:spacing w:line="360" w:lineRule="auto"/>
        <w:rPr>
          <w:sz w:val="28"/>
          <w:szCs w:val="28"/>
        </w:rPr>
      </w:pPr>
    </w:p>
    <w:p w:rsidR="0006124A" w:rsidRDefault="0006124A" w:rsidP="001B793C">
      <w:pPr>
        <w:spacing w:line="360" w:lineRule="auto"/>
        <w:rPr>
          <w:sz w:val="28"/>
          <w:szCs w:val="28"/>
        </w:rPr>
      </w:pPr>
    </w:p>
    <w:p w:rsidR="0006124A" w:rsidRDefault="0006124A" w:rsidP="001B793C">
      <w:pPr>
        <w:spacing w:line="360" w:lineRule="auto"/>
        <w:rPr>
          <w:sz w:val="28"/>
          <w:szCs w:val="28"/>
        </w:rPr>
      </w:pPr>
    </w:p>
    <w:p w:rsidR="0006124A" w:rsidRDefault="0006124A" w:rsidP="001B793C">
      <w:pPr>
        <w:spacing w:line="360" w:lineRule="auto"/>
        <w:rPr>
          <w:sz w:val="28"/>
          <w:szCs w:val="28"/>
        </w:rPr>
      </w:pPr>
    </w:p>
    <w:p w:rsidR="0006124A" w:rsidRDefault="0006124A" w:rsidP="001B793C">
      <w:pPr>
        <w:spacing w:line="360" w:lineRule="auto"/>
        <w:rPr>
          <w:sz w:val="28"/>
          <w:szCs w:val="28"/>
        </w:rPr>
      </w:pPr>
    </w:p>
    <w:p w:rsidR="0006124A" w:rsidRDefault="0006124A" w:rsidP="001B793C">
      <w:pPr>
        <w:spacing w:line="360" w:lineRule="auto"/>
        <w:rPr>
          <w:sz w:val="28"/>
          <w:szCs w:val="28"/>
        </w:rPr>
      </w:pPr>
    </w:p>
    <w:p w:rsidR="0006124A" w:rsidRDefault="0006124A" w:rsidP="001B793C">
      <w:pPr>
        <w:spacing w:line="360" w:lineRule="auto"/>
        <w:rPr>
          <w:sz w:val="28"/>
          <w:szCs w:val="28"/>
        </w:rPr>
      </w:pPr>
    </w:p>
    <w:p w:rsidR="0006124A" w:rsidRDefault="0006124A" w:rsidP="001B793C">
      <w:pPr>
        <w:spacing w:line="360" w:lineRule="auto"/>
        <w:rPr>
          <w:sz w:val="28"/>
          <w:szCs w:val="28"/>
        </w:rPr>
      </w:pPr>
    </w:p>
    <w:p w:rsidR="0006124A" w:rsidRDefault="0006124A" w:rsidP="001B793C">
      <w:pPr>
        <w:spacing w:line="360" w:lineRule="auto"/>
        <w:rPr>
          <w:sz w:val="28"/>
          <w:szCs w:val="28"/>
        </w:rPr>
      </w:pPr>
    </w:p>
    <w:p w:rsidR="0006124A" w:rsidRDefault="0006124A" w:rsidP="001B793C">
      <w:pPr>
        <w:spacing w:line="360" w:lineRule="auto"/>
        <w:rPr>
          <w:sz w:val="28"/>
          <w:szCs w:val="28"/>
        </w:rPr>
      </w:pPr>
    </w:p>
    <w:p w:rsidR="0006124A" w:rsidRDefault="0006124A" w:rsidP="001B793C">
      <w:pPr>
        <w:spacing w:line="360" w:lineRule="auto"/>
        <w:rPr>
          <w:sz w:val="28"/>
          <w:szCs w:val="28"/>
        </w:rPr>
      </w:pPr>
    </w:p>
    <w:p w:rsidR="0006124A" w:rsidRDefault="0006124A" w:rsidP="001B793C">
      <w:pPr>
        <w:spacing w:line="360" w:lineRule="auto"/>
        <w:rPr>
          <w:sz w:val="28"/>
          <w:szCs w:val="28"/>
        </w:rPr>
      </w:pPr>
    </w:p>
    <w:p w:rsidR="0006124A" w:rsidRDefault="0006124A" w:rsidP="001B793C">
      <w:pPr>
        <w:spacing w:line="360" w:lineRule="auto"/>
        <w:rPr>
          <w:sz w:val="28"/>
          <w:szCs w:val="28"/>
        </w:rPr>
      </w:pPr>
    </w:p>
    <w:p w:rsidR="00A00FDA" w:rsidRPr="001119DF" w:rsidRDefault="00192818" w:rsidP="001119DF">
      <w:pPr>
        <w:pStyle w:val="Heading1"/>
        <w:numPr>
          <w:ilvl w:val="0"/>
          <w:numId w:val="2"/>
        </w:numPr>
        <w:spacing w:line="360" w:lineRule="auto"/>
        <w:rPr>
          <w:color w:val="auto"/>
        </w:rPr>
      </w:pPr>
      <w:r w:rsidRPr="00A00FDA">
        <w:rPr>
          <w:color w:val="auto"/>
        </w:rPr>
        <w:lastRenderedPageBreak/>
        <w:t>Introduction &amp; Motivation</w:t>
      </w:r>
    </w:p>
    <w:p w:rsidR="00FC20EC" w:rsidRDefault="00C07723" w:rsidP="001B793C">
      <w:pPr>
        <w:spacing w:line="360" w:lineRule="auto"/>
        <w:ind w:left="360"/>
      </w:pPr>
      <w:r>
        <w:t xml:space="preserve">In 2014, the Chinese government released a planning document titled “Planning Outline for the Construction of a Social Credit System 2014-2020”. </w:t>
      </w:r>
      <w:r w:rsidR="004914E3">
        <w:t>T</w:t>
      </w:r>
      <w:r>
        <w:t xml:space="preserve">he Social Credit System (SCS) is another </w:t>
      </w:r>
      <w:r w:rsidR="009602DB">
        <w:t xml:space="preserve">sweeping program to </w:t>
      </w:r>
      <w:r w:rsidR="008516F3">
        <w:t xml:space="preserve">facilitate </w:t>
      </w:r>
      <w:r w:rsidR="006E1D52">
        <w:t xml:space="preserve">a </w:t>
      </w:r>
      <w:r w:rsidR="009602DB">
        <w:t xml:space="preserve">transition from a centrally planned economy under Mao Zedong’s rule into a modern </w:t>
      </w:r>
      <w:r w:rsidR="006E1D52">
        <w:t>market-</w:t>
      </w:r>
      <w:r w:rsidR="00E92FEC">
        <w:t>based economy.</w:t>
      </w:r>
      <w:r w:rsidR="004914E3">
        <w:t xml:space="preserve"> </w:t>
      </w:r>
      <w:r w:rsidR="003F6BA5">
        <w:t xml:space="preserve">Historically, </w:t>
      </w:r>
      <w:r w:rsidR="00045E0C">
        <w:t>this transition has been</w:t>
      </w:r>
      <w:r w:rsidR="00FA619B">
        <w:t xml:space="preserve"> </w:t>
      </w:r>
      <w:r w:rsidR="00EE75C1">
        <w:t>successful</w:t>
      </w:r>
      <w:r w:rsidR="007E0960">
        <w:t xml:space="preserve"> resulting in poverty reduction and massive economic growth.</w:t>
      </w:r>
      <w:r w:rsidR="0078054F">
        <w:t xml:space="preserve"> </w:t>
      </w:r>
      <w:r w:rsidR="00045E0C">
        <w:t xml:space="preserve"> </w:t>
      </w:r>
      <w:r w:rsidR="00BC07CD">
        <w:t xml:space="preserve">To illustrate, </w:t>
      </w:r>
      <w:r w:rsidR="00B811AE">
        <w:t>d</w:t>
      </w:r>
      <w:r w:rsidR="004C3BBE">
        <w:t>uring 1978 and 1993, China grew its GDP by 9% on average per annum and was extremely effective at reducing poverty with the “...number of people living in absolute poverty…reduced from over 250 million to less than 100 million in this period”</w:t>
      </w:r>
      <w:r w:rsidR="00E92FEC">
        <w:t xml:space="preserve"> </w:t>
      </w:r>
      <w:r w:rsidR="004C3BBE">
        <w:rPr>
          <w:rStyle w:val="FootnoteReference"/>
        </w:rPr>
        <w:footnoteReference w:id="1"/>
      </w:r>
      <w:r w:rsidR="004C3BBE">
        <w:t xml:space="preserve">. </w:t>
      </w:r>
    </w:p>
    <w:p w:rsidR="00E56052" w:rsidRDefault="00FC20EC" w:rsidP="001B793C">
      <w:pPr>
        <w:spacing w:line="360" w:lineRule="auto"/>
        <w:ind w:left="360"/>
      </w:pPr>
      <w:r>
        <w:t>However, t</w:t>
      </w:r>
      <w:r w:rsidR="00045E0C">
        <w:t xml:space="preserve">here are </w:t>
      </w:r>
      <w:r w:rsidR="006A7104">
        <w:t xml:space="preserve">visible </w:t>
      </w:r>
      <w:r w:rsidR="00045E0C">
        <w:t>growing pa</w:t>
      </w:r>
      <w:r w:rsidR="006E1D52">
        <w:t>ins from this blistering market-</w:t>
      </w:r>
      <w:r w:rsidR="00045E0C">
        <w:t>based transformation since Mao’s death in 1976</w:t>
      </w:r>
      <w:r w:rsidR="002B7AEB">
        <w:t xml:space="preserve"> such as rampant intellectual property</w:t>
      </w:r>
      <w:r w:rsidR="00D91594">
        <w:t xml:space="preserve"> theft</w:t>
      </w:r>
      <w:r w:rsidR="002B7AEB">
        <w:t>, corruption, and tax evasion.</w:t>
      </w:r>
      <w:r w:rsidR="0078396B">
        <w:t xml:space="preserve"> </w:t>
      </w:r>
      <w:r w:rsidR="00204AC5">
        <w:t>In</w:t>
      </w:r>
      <w:r w:rsidR="006E1D52">
        <w:t xml:space="preserve"> order to have a working market-</w:t>
      </w:r>
      <w:r w:rsidR="009543A3">
        <w:t>based economy:</w:t>
      </w:r>
      <w:r w:rsidR="00204AC5">
        <w:t xml:space="preserve"> property rights, </w:t>
      </w:r>
      <w:r w:rsidR="00816311">
        <w:t xml:space="preserve">a formal </w:t>
      </w:r>
      <w:r w:rsidR="00204AC5">
        <w:t xml:space="preserve">legal system, and </w:t>
      </w:r>
      <w:r w:rsidR="009543A3">
        <w:t xml:space="preserve">a structured </w:t>
      </w:r>
      <w:r w:rsidR="00204AC5">
        <w:t xml:space="preserve">fiscal system need </w:t>
      </w:r>
      <w:r w:rsidR="00AF4FCF">
        <w:t>to be adopted by its people and enforced by its government</w:t>
      </w:r>
      <w:r w:rsidR="00204AC5">
        <w:t>. According to Qian and Wu, China lacked many institutions to replace the old ones, “Fundamentally, there was no rule of law, and the State and the Party, not laws, were governing the economy”</w:t>
      </w:r>
      <w:r w:rsidR="00D35C70" w:rsidRPr="00D35C70">
        <w:rPr>
          <w:rStyle w:val="FootnoteReference"/>
        </w:rPr>
        <w:t xml:space="preserve"> </w:t>
      </w:r>
      <w:r w:rsidR="00D35C70">
        <w:rPr>
          <w:rStyle w:val="FootnoteReference"/>
        </w:rPr>
        <w:footnoteReference w:customMarkFollows="1" w:id="2"/>
        <w:t>1</w:t>
      </w:r>
      <w:r w:rsidR="00D35C70">
        <w:t>.</w:t>
      </w:r>
    </w:p>
    <w:p w:rsidR="00192818" w:rsidRDefault="00AF4FCF" w:rsidP="001B793C">
      <w:pPr>
        <w:spacing w:line="360" w:lineRule="auto"/>
        <w:ind w:left="360"/>
      </w:pPr>
      <w:r>
        <w:t xml:space="preserve">Thus, </w:t>
      </w:r>
      <w:r w:rsidR="000A0EC6">
        <w:t>the SCS is a way to create trust in the marketplace and</w:t>
      </w:r>
      <w:r w:rsidR="00190539">
        <w:t xml:space="preserve"> </w:t>
      </w:r>
      <w:r w:rsidR="00D35C70">
        <w:t>help the country adopt</w:t>
      </w:r>
      <w:r w:rsidR="00190539">
        <w:t xml:space="preserve"> a</w:t>
      </w:r>
      <w:r w:rsidR="00D06A32">
        <w:t xml:space="preserve"> </w:t>
      </w:r>
      <w:r w:rsidR="00A206E4">
        <w:t xml:space="preserve">formal </w:t>
      </w:r>
      <w:r w:rsidR="00D06A32">
        <w:t>legal system</w:t>
      </w:r>
      <w:r w:rsidR="00D35C70">
        <w:t>. This is accomplished</w:t>
      </w:r>
      <w:r w:rsidR="00D06A32">
        <w:t xml:space="preserve"> by</w:t>
      </w:r>
      <w:r w:rsidR="000A0EC6">
        <w:t xml:space="preserve"> track</w:t>
      </w:r>
      <w:r w:rsidR="00D06A32">
        <w:t>ing and recording</w:t>
      </w:r>
      <w:r w:rsidR="000A0EC6">
        <w:t xml:space="preserve"> each companies’ adherence to</w:t>
      </w:r>
      <w:r w:rsidR="00806736">
        <w:t xml:space="preserve"> laws via large scale data aggregation of financial and social components</w:t>
      </w:r>
      <w:r w:rsidR="00254B1A">
        <w:t>. Some examples of negative behavior are</w:t>
      </w:r>
      <w:r w:rsidR="003773A8">
        <w:t xml:space="preserve"> instances of bribery, </w:t>
      </w:r>
      <w:r w:rsidR="00577126">
        <w:t>scams</w:t>
      </w:r>
      <w:r w:rsidR="003773A8">
        <w:t>, or food safety violations</w:t>
      </w:r>
      <w:r w:rsidR="00806736">
        <w:t xml:space="preserve">. The </w:t>
      </w:r>
      <w:r w:rsidR="00D05445">
        <w:t>SCS</w:t>
      </w:r>
      <w:r w:rsidR="00D06A32">
        <w:t xml:space="preserve"> </w:t>
      </w:r>
      <w:r w:rsidR="006E1D52">
        <w:t>is incentivized by rewards (e.g. low-</w:t>
      </w:r>
      <w:r w:rsidR="004E42E4">
        <w:t>interest bank loans and subsidies) and punishments (</w:t>
      </w:r>
      <w:r w:rsidR="003C0A1A">
        <w:t xml:space="preserve">e.g. ban on travel or business permits). </w:t>
      </w:r>
      <w:r w:rsidR="009213AF">
        <w:t>Thus, t</w:t>
      </w:r>
      <w:r w:rsidR="00701B9D">
        <w:t xml:space="preserve">his </w:t>
      </w:r>
      <w:r w:rsidR="00A47FC4">
        <w:t xml:space="preserve">SCS </w:t>
      </w:r>
      <w:r w:rsidR="00DE4577">
        <w:t xml:space="preserve">program </w:t>
      </w:r>
      <w:r w:rsidR="00701B9D">
        <w:t xml:space="preserve">has significant </w:t>
      </w:r>
      <w:r w:rsidR="004D54A5">
        <w:t>implications</w:t>
      </w:r>
      <w:r w:rsidR="00701B9D">
        <w:t xml:space="preserve"> on</w:t>
      </w:r>
      <w:r w:rsidR="004D54A5">
        <w:t xml:space="preserve"> the</w:t>
      </w:r>
      <w:r w:rsidR="00701B9D">
        <w:t xml:space="preserve"> </w:t>
      </w:r>
      <w:r w:rsidR="00281604">
        <w:t xml:space="preserve">growth of companies specifically in terms of </w:t>
      </w:r>
      <w:r w:rsidR="00FF6020">
        <w:t>changing</w:t>
      </w:r>
      <w:r w:rsidR="00DE4577">
        <w:t xml:space="preserve"> in lending</w:t>
      </w:r>
      <w:r w:rsidR="00FF6020">
        <w:t xml:space="preserve"> or investment</w:t>
      </w:r>
      <w:r w:rsidR="00DE4577">
        <w:t xml:space="preserve"> </w:t>
      </w:r>
      <w:r w:rsidR="00FF6020">
        <w:t>behavior</w:t>
      </w:r>
      <w:r w:rsidR="00D35C70">
        <w:t>.</w:t>
      </w:r>
      <w:r w:rsidR="00FF6020">
        <w:t xml:space="preserve"> </w:t>
      </w:r>
    </w:p>
    <w:p w:rsidR="00192818" w:rsidRDefault="00A969E7" w:rsidP="001306D1">
      <w:pPr>
        <w:spacing w:line="360" w:lineRule="auto"/>
        <w:ind w:left="360"/>
      </w:pPr>
      <w:r>
        <w:t>Existing research on the SCS is sparse</w:t>
      </w:r>
      <w:r w:rsidR="004E5138">
        <w:t>,</w:t>
      </w:r>
      <w:r>
        <w:t xml:space="preserve"> as the program outline is not </w:t>
      </w:r>
      <w:r w:rsidR="0007258A">
        <w:t>yet fin</w:t>
      </w:r>
      <w:r w:rsidR="009E2EBD">
        <w:t>alized until the end of 2020. A p</w:t>
      </w:r>
      <w:r w:rsidR="0007258A">
        <w:t>aper by Roger Creemers titled “China’s Social Credit System: An Evolving Practice of Control” is</w:t>
      </w:r>
      <w:r w:rsidR="009E2EBD">
        <w:t xml:space="preserve"> frequently referenced by other sources</w:t>
      </w:r>
      <w:r w:rsidR="0007258A">
        <w:t xml:space="preserve"> </w:t>
      </w:r>
      <w:r w:rsidR="009E2EBD">
        <w:t xml:space="preserve">and is well-developed in explaining </w:t>
      </w:r>
      <w:r w:rsidR="0007258A">
        <w:t xml:space="preserve">the history, </w:t>
      </w:r>
      <w:r w:rsidR="0007258A">
        <w:lastRenderedPageBreak/>
        <w:t xml:space="preserve">description, and possible implications of the SCS. </w:t>
      </w:r>
      <w:r w:rsidR="000E1134">
        <w:rPr>
          <w:rStyle w:val="FootnoteReference"/>
        </w:rPr>
        <w:footnoteReference w:id="3"/>
      </w:r>
      <w:r w:rsidR="00AA65B8">
        <w:t xml:space="preserve"> </w:t>
      </w:r>
      <w:r w:rsidR="00D17FD8">
        <w:t xml:space="preserve">There </w:t>
      </w:r>
      <w:r w:rsidR="00AB537C">
        <w:t>were no</w:t>
      </w:r>
      <w:r w:rsidR="0007258A">
        <w:t xml:space="preserve"> </w:t>
      </w:r>
      <w:r w:rsidR="00EC3112">
        <w:t>RCT studies</w:t>
      </w:r>
      <w:r w:rsidR="001B5B4C">
        <w:t xml:space="preserve"> identified</w:t>
      </w:r>
      <w:r w:rsidR="0007258A">
        <w:t xml:space="preserve"> on this topic. </w:t>
      </w:r>
    </w:p>
    <w:p w:rsidR="001306D1" w:rsidRPr="001306D1" w:rsidRDefault="001306D1" w:rsidP="001306D1">
      <w:pPr>
        <w:pStyle w:val="Heading1"/>
        <w:numPr>
          <w:ilvl w:val="0"/>
          <w:numId w:val="2"/>
        </w:numPr>
        <w:spacing w:line="360" w:lineRule="auto"/>
        <w:rPr>
          <w:color w:val="auto"/>
        </w:rPr>
      </w:pPr>
      <w:r>
        <w:rPr>
          <w:color w:val="auto"/>
        </w:rPr>
        <w:t>Background</w:t>
      </w:r>
    </w:p>
    <w:p w:rsidR="00097AE6" w:rsidRDefault="003F713C" w:rsidP="00097AE6">
      <w:pPr>
        <w:spacing w:line="360" w:lineRule="auto"/>
        <w:ind w:left="360"/>
      </w:pPr>
      <w:r>
        <w:t xml:space="preserve">Given that the </w:t>
      </w:r>
      <w:r w:rsidR="00637112">
        <w:t>rewards and punishment</w:t>
      </w:r>
      <w:r>
        <w:t xml:space="preserve">s for </w:t>
      </w:r>
      <w:r w:rsidR="00B43A1D">
        <w:t>rule adherence</w:t>
      </w:r>
      <w:r>
        <w:t xml:space="preserve"> can have </w:t>
      </w:r>
      <w:r w:rsidR="006E1D52">
        <w:t xml:space="preserve">a </w:t>
      </w:r>
      <w:r>
        <w:t xml:space="preserve">significant financial impact on companies, </w:t>
      </w:r>
      <w:r w:rsidR="00637112">
        <w:t>t</w:t>
      </w:r>
      <w:r w:rsidR="0090642C">
        <w:t xml:space="preserve">he focus of the </w:t>
      </w:r>
      <w:r w:rsidR="00606FF8">
        <w:t xml:space="preserve">RCT </w:t>
      </w:r>
      <w:r w:rsidR="0090642C">
        <w:t xml:space="preserve">study is on the </w:t>
      </w:r>
      <w:r w:rsidR="00D1064E">
        <w:t>lending and investment behavior</w:t>
      </w:r>
      <w:r w:rsidR="0090642C">
        <w:t xml:space="preserve"> of Chinese</w:t>
      </w:r>
      <w:r w:rsidR="00304D8E">
        <w:t xml:space="preserve"> </w:t>
      </w:r>
      <w:r w:rsidR="009F64F3">
        <w:t xml:space="preserve">clothing </w:t>
      </w:r>
      <w:r w:rsidR="00304D8E">
        <w:t>manufacturing</w:t>
      </w:r>
      <w:r w:rsidR="0090642C">
        <w:t xml:space="preserve"> companies exposed to </w:t>
      </w:r>
      <w:r w:rsidR="00304D8E">
        <w:t>this SCS system.</w:t>
      </w:r>
      <w:r w:rsidR="0001223A">
        <w:t xml:space="preserve"> </w:t>
      </w:r>
      <w:r w:rsidR="004F1350">
        <w:t>The theory of change is based on the belief that the benefi</w:t>
      </w:r>
      <w:r w:rsidR="006E1D52">
        <w:t>ts such as better access to low-</w:t>
      </w:r>
      <w:r w:rsidR="004F1350">
        <w:t xml:space="preserve">interest loans or expedited government </w:t>
      </w:r>
      <w:r w:rsidR="00E232C9">
        <w:t>will influen</w:t>
      </w:r>
      <w:r w:rsidR="004D7356">
        <w:t>ce companies to act lawfully.</w:t>
      </w:r>
      <w:r w:rsidR="00E232C9">
        <w:t xml:space="preserve">  </w:t>
      </w:r>
    </w:p>
    <w:p w:rsidR="000A577C" w:rsidRDefault="00D2299F" w:rsidP="00275689">
      <w:pPr>
        <w:spacing w:line="360" w:lineRule="auto"/>
        <w:ind w:left="360"/>
      </w:pPr>
      <w:r>
        <w:t xml:space="preserve"> </w:t>
      </w:r>
      <w:r w:rsidR="00AC0DD8">
        <w:t>As further detailed in Section III, t</w:t>
      </w:r>
      <w:r>
        <w:t>he study will focus on</w:t>
      </w:r>
      <w:r w:rsidR="00AC0DD8">
        <w:t xml:space="preserve"> a clustered random sample of 60 cities</w:t>
      </w:r>
      <w:r w:rsidR="0000399F">
        <w:t xml:space="preserve"> </w:t>
      </w:r>
      <w:r w:rsidR="008455A8">
        <w:t>with outcomes at the company level.</w:t>
      </w:r>
      <w:r w:rsidR="0001223A">
        <w:t xml:space="preserve"> </w:t>
      </w:r>
      <w:r w:rsidR="008455A8">
        <w:t xml:space="preserve">In </w:t>
      </w:r>
      <w:r w:rsidR="006E1D52">
        <w:t xml:space="preserve">the </w:t>
      </w:r>
      <w:r w:rsidR="008455A8">
        <w:t>interest of similarity in baseline characteristics, the cities</w:t>
      </w:r>
      <w:r w:rsidR="00A1251E">
        <w:t xml:space="preserve"> will be</w:t>
      </w:r>
      <w:r w:rsidR="008455A8">
        <w:t xml:space="preserve"> </w:t>
      </w:r>
      <w:r w:rsidR="00B57346">
        <w:t xml:space="preserve">randomly </w:t>
      </w:r>
      <w:r w:rsidR="008455A8">
        <w:t>selected</w:t>
      </w:r>
      <w:r w:rsidR="00A1251E">
        <w:t xml:space="preserve"> within the category of </w:t>
      </w:r>
      <w:r w:rsidR="00662B48">
        <w:t>“</w:t>
      </w:r>
      <w:r w:rsidR="00A1251E">
        <w:t>Tier III</w:t>
      </w:r>
      <w:r w:rsidR="00662B48">
        <w:t>”</w:t>
      </w:r>
      <w:r w:rsidR="00A1251E">
        <w:t xml:space="preserve"> cities</w:t>
      </w:r>
      <w:r w:rsidR="008455A8">
        <w:t xml:space="preserve">. </w:t>
      </w:r>
      <w:r w:rsidR="00464327">
        <w:t>The Chinese city tier system is not officially recognized by the government, but</w:t>
      </w:r>
      <w:r w:rsidR="00FD602E">
        <w:t xml:space="preserve"> defined by media and</w:t>
      </w:r>
      <w:r w:rsidR="00464327">
        <w:t xml:space="preserve"> </w:t>
      </w:r>
      <w:r w:rsidR="000073F5">
        <w:t xml:space="preserve">accepted by </w:t>
      </w:r>
      <w:r w:rsidR="00636F6E">
        <w:t xml:space="preserve">the </w:t>
      </w:r>
      <w:r w:rsidR="000E0FAD">
        <w:t xml:space="preserve">general </w:t>
      </w:r>
      <w:r w:rsidR="00636F6E">
        <w:t>population.</w:t>
      </w:r>
      <w:r w:rsidR="00772216">
        <w:t xml:space="preserve"> </w:t>
      </w:r>
      <w:r w:rsidR="00A66DE2">
        <w:t>This RCT</w:t>
      </w:r>
      <w:r w:rsidR="00772216">
        <w:t xml:space="preserve"> study uses the city tiers as defined by the South China Morning Post which </w:t>
      </w:r>
      <w:r w:rsidR="00C75B9C">
        <w:t>categorizes 613 cities</w:t>
      </w:r>
      <w:r w:rsidR="00904ADD">
        <w:t xml:space="preserve"> in 4 different tiers</w:t>
      </w:r>
      <w:r w:rsidR="00C75B9C">
        <w:t xml:space="preserve"> across GDP, population, and political governance strata. </w:t>
      </w:r>
      <w:r w:rsidR="001C51C0">
        <w:rPr>
          <w:rStyle w:val="FootnoteReference"/>
        </w:rPr>
        <w:footnoteReference w:id="4"/>
      </w:r>
    </w:p>
    <w:p w:rsidR="000E1134" w:rsidRDefault="00904ADD" w:rsidP="00067CB9">
      <w:pPr>
        <w:spacing w:line="360" w:lineRule="auto"/>
        <w:ind w:left="360"/>
      </w:pPr>
      <w:r>
        <w:t>For example, a Tier I city such as Shanghai or Beijing would include cities with GDP over $300 billion, 15 million people, a</w:t>
      </w:r>
      <w:r w:rsidR="001809E4">
        <w:t>nd run by the central government</w:t>
      </w:r>
      <w:r w:rsidR="001211B2">
        <w:t xml:space="preserve">. In contrast, the </w:t>
      </w:r>
      <w:r w:rsidR="006E631D">
        <w:t xml:space="preserve">RCT </w:t>
      </w:r>
      <w:r w:rsidR="001211B2">
        <w:t xml:space="preserve">study will focus on Tier III cities that have </w:t>
      </w:r>
      <w:r w:rsidR="000525E4">
        <w:t>a GDP between $18 billion and $67 billion</w:t>
      </w:r>
      <w:r w:rsidR="001809E4">
        <w:t xml:space="preserve">, a population of 150,000 to 3 million people, and </w:t>
      </w:r>
      <w:r w:rsidR="003B2811">
        <w:t>a government run by “prefecture capital cities”.</w:t>
      </w:r>
      <w:r w:rsidR="00AF044A">
        <w:t xml:space="preserve"> </w:t>
      </w:r>
    </w:p>
    <w:p w:rsidR="00D576C2" w:rsidRDefault="00D576C2" w:rsidP="000F5B59">
      <w:pPr>
        <w:spacing w:line="360" w:lineRule="auto"/>
        <w:ind w:left="360"/>
      </w:pPr>
      <w:r>
        <w:t>As of April 2018, there have been 36 pilot systems rolled out, among them include cities such as Rongcheng, Chengdu, and Hangzhou.</w:t>
      </w:r>
      <w:r w:rsidR="00374C8A">
        <w:rPr>
          <w:rStyle w:val="FootnoteReference"/>
        </w:rPr>
        <w:footnoteReference w:id="5"/>
      </w:r>
      <w:r>
        <w:t xml:space="preserve"> </w:t>
      </w:r>
      <w:r w:rsidRPr="00D576C2">
        <w:t xml:space="preserve">Each pilot program is not identical, but </w:t>
      </w:r>
      <w:r>
        <w:t>all include similarities of</w:t>
      </w:r>
      <w:r w:rsidR="006E1D52">
        <w:t xml:space="preserve"> buckets of good behavior (“red-list”) and bad behavior (“black-</w:t>
      </w:r>
      <w:r>
        <w:t>list”) with respective reward and penalties.</w:t>
      </w:r>
      <w:r w:rsidR="00846D31">
        <w:t xml:space="preserve"> </w:t>
      </w:r>
      <w:r>
        <w:t xml:space="preserve"> After the planning period ends in 2020, the Chinese government plans a national roll-out.</w:t>
      </w:r>
    </w:p>
    <w:p w:rsidR="00C10ED9" w:rsidRDefault="00704DD9" w:rsidP="000F5B59">
      <w:pPr>
        <w:spacing w:line="360" w:lineRule="auto"/>
        <w:ind w:left="360"/>
      </w:pPr>
      <w:r>
        <w:t xml:space="preserve">According to Kostka, on an individual </w:t>
      </w:r>
      <w:r w:rsidR="0038745F">
        <w:t xml:space="preserve">level, </w:t>
      </w:r>
      <w:r w:rsidR="006E1D52">
        <w:t xml:space="preserve">the </w:t>
      </w:r>
      <w:r w:rsidR="00C10ED9">
        <w:t>consensus among the</w:t>
      </w:r>
      <w:r w:rsidR="00846D31">
        <w:t xml:space="preserve"> pilot ci</w:t>
      </w:r>
      <w:r>
        <w:t>ties have been highly positive</w:t>
      </w:r>
      <w:r w:rsidR="005E43EB">
        <w:t xml:space="preserve">, with “80% of respondents either somewhat approving or strongly approving SCSs”. </w:t>
      </w:r>
      <w:r w:rsidR="00146838">
        <w:rPr>
          <w:rStyle w:val="FootnoteReference"/>
        </w:rPr>
        <w:footnoteReference w:id="6"/>
      </w:r>
      <w:r w:rsidR="00C30415">
        <w:t xml:space="preserve"> The citizens view the program as a way to “improve quality of life and to close institutional and </w:t>
      </w:r>
      <w:r w:rsidR="00C30415">
        <w:lastRenderedPageBreak/>
        <w:t xml:space="preserve">regulatory gaps leading to a more honest and law-abiding behavior…”. </w:t>
      </w:r>
      <w:r w:rsidR="009A784B">
        <w:t xml:space="preserve">Despite this, the perception of the program from </w:t>
      </w:r>
      <w:r w:rsidR="001C51C0">
        <w:t>a company level</w:t>
      </w:r>
      <w:r w:rsidR="00E232F5">
        <w:t xml:space="preserve"> perspective may differ.</w:t>
      </w:r>
    </w:p>
    <w:p w:rsidR="0017362A" w:rsidRDefault="0017362A" w:rsidP="0017362A">
      <w:pPr>
        <w:pStyle w:val="Heading1"/>
        <w:numPr>
          <w:ilvl w:val="0"/>
          <w:numId w:val="2"/>
        </w:numPr>
        <w:spacing w:line="360" w:lineRule="auto"/>
        <w:rPr>
          <w:color w:val="auto"/>
        </w:rPr>
      </w:pPr>
      <w:r>
        <w:rPr>
          <w:color w:val="auto"/>
        </w:rPr>
        <w:t>Research Design</w:t>
      </w:r>
    </w:p>
    <w:p w:rsidR="001D5245" w:rsidRDefault="009F3168" w:rsidP="004316A0">
      <w:pPr>
        <w:spacing w:line="360" w:lineRule="auto"/>
      </w:pPr>
      <w:r>
        <w:t>The research question is to study the effects of how Social Credit System (SCS) impacts the credit and investment behavior of Chinese clothing manufacturing companies.</w:t>
      </w:r>
      <w:r w:rsidR="00520CCE">
        <w:t xml:space="preserve"> </w:t>
      </w:r>
    </w:p>
    <w:p w:rsidR="00D5183A" w:rsidRDefault="00AE49C1" w:rsidP="00AE49C1">
      <w:pPr>
        <w:spacing w:line="360" w:lineRule="auto"/>
      </w:pPr>
      <w:r>
        <w:t>The purpose</w:t>
      </w:r>
      <w:r w:rsidR="00D5183A">
        <w:t xml:space="preserve"> of</w:t>
      </w:r>
      <w:r>
        <w:t xml:space="preserve"> focusing on a subset</w:t>
      </w:r>
      <w:r w:rsidR="00396EFD">
        <w:t xml:space="preserve"> (clothing)</w:t>
      </w:r>
      <w:r>
        <w:t xml:space="preserve"> of the manufacturing industry is to help maintain baseline characteristics</w:t>
      </w:r>
      <w:r w:rsidR="009E2EBD">
        <w:t xml:space="preserve"> in treatment and control cities. Examples such as </w:t>
      </w:r>
      <w:r>
        <w:t>cost structure</w:t>
      </w:r>
      <w:r w:rsidR="009E2EBD">
        <w:t xml:space="preserve">, </w:t>
      </w:r>
      <w:r>
        <w:t>growth rate</w:t>
      </w:r>
      <w:r w:rsidR="009E2EBD">
        <w:t>, or lending behavior may</w:t>
      </w:r>
      <w:r w:rsidR="002F1583">
        <w:t xml:space="preserve"> across </w:t>
      </w:r>
      <w:r w:rsidR="009E2EBD">
        <w:t>industries</w:t>
      </w:r>
      <w:r>
        <w:t xml:space="preserve">. </w:t>
      </w:r>
      <w:r w:rsidR="002F1583">
        <w:t>Additionally, th</w:t>
      </w:r>
      <w:r>
        <w:t>e clothing manufacturing industry is stable</w:t>
      </w:r>
      <w:r w:rsidR="009D7F16">
        <w:t xml:space="preserve"> and generic</w:t>
      </w:r>
      <w:r w:rsidR="00F73EB0">
        <w:t xml:space="preserve"> </w:t>
      </w:r>
      <w:r>
        <w:t>which makes it more predictable</w:t>
      </w:r>
      <w:r w:rsidR="00612EDF">
        <w:t xml:space="preserve"> in a study</w:t>
      </w:r>
      <w:r>
        <w:t>.</w:t>
      </w:r>
    </w:p>
    <w:p w:rsidR="00AE49C1" w:rsidRPr="00991FBE" w:rsidRDefault="00910F83" w:rsidP="00224765">
      <w:pPr>
        <w:spacing w:line="360" w:lineRule="auto"/>
        <w:rPr>
          <w:sz w:val="28"/>
          <w:szCs w:val="28"/>
        </w:rPr>
      </w:pPr>
      <w:r>
        <w:t xml:space="preserve">As mentioned in Section II, there will be a “tiered” stratification of sample cities. The </w:t>
      </w:r>
      <w:r w:rsidR="00677492">
        <w:t>focus</w:t>
      </w:r>
      <w:r w:rsidR="0055725A">
        <w:t xml:space="preserve"> on</w:t>
      </w:r>
      <w:r w:rsidR="00FD0807">
        <w:t xml:space="preserve"> Tier III cities is due</w:t>
      </w:r>
      <w:r w:rsidR="00224765">
        <w:t xml:space="preserve"> </w:t>
      </w:r>
      <w:r w:rsidR="006E1D52">
        <w:t xml:space="preserve">to </w:t>
      </w:r>
      <w:r w:rsidR="00224765">
        <w:t>a larger amount of cities to randomly sample from</w:t>
      </w:r>
      <w:r w:rsidR="0024195E">
        <w:t xml:space="preserve"> amounting</w:t>
      </w:r>
      <w:r w:rsidR="00752368">
        <w:t xml:space="preserve"> to roughly 70 cities</w:t>
      </w:r>
      <w:r w:rsidR="00224765">
        <w:t>.</w:t>
      </w:r>
      <w:r w:rsidR="0037402B">
        <w:t xml:space="preserve"> In contrast, </w:t>
      </w:r>
      <w:r>
        <w:t>Tier II cities</w:t>
      </w:r>
      <w:r w:rsidR="006E1D52">
        <w:t xml:space="preserve"> are</w:t>
      </w:r>
      <w:r w:rsidR="00224765">
        <w:t xml:space="preserve"> generally defined as 30 cities, which would be concerning for deriving the benefits of increased power. </w:t>
      </w:r>
    </w:p>
    <w:p w:rsidR="00EB53D9" w:rsidRDefault="004371CB" w:rsidP="004316A0">
      <w:pPr>
        <w:spacing w:line="360" w:lineRule="auto"/>
      </w:pPr>
      <w:r>
        <w:t xml:space="preserve">After the 2020 planning period is over, a </w:t>
      </w:r>
      <w:r w:rsidR="003C022E">
        <w:t xml:space="preserve">clustered random sample of 60 cities in the set of </w:t>
      </w:r>
      <w:r w:rsidR="002E4768">
        <w:t xml:space="preserve">70+ Tier III cities will be selected. The treatment and control will be balanced, with 30 cities being given the SCS and 30 acting as </w:t>
      </w:r>
      <w:r w:rsidR="006E1D52">
        <w:t xml:space="preserve">a </w:t>
      </w:r>
      <w:r w:rsidR="002E4768">
        <w:t xml:space="preserve">control. </w:t>
      </w:r>
      <w:r w:rsidR="00605454">
        <w:t xml:space="preserve">Economic outcomes will be observed at the level of the company. </w:t>
      </w:r>
      <w:r w:rsidR="005855D3">
        <w:t>The timeline of the study will be from January 2021 to January 2031.</w:t>
      </w:r>
    </w:p>
    <w:p w:rsidR="0099405B" w:rsidRDefault="005855D3" w:rsidP="00EB53D9">
      <w:pPr>
        <w:spacing w:line="360" w:lineRule="auto"/>
      </w:pPr>
      <w:r>
        <w:t>Further, d</w:t>
      </w:r>
      <w:r w:rsidR="001F396D">
        <w:t>ata on selected cities will be col</w:t>
      </w:r>
      <w:r w:rsidR="00BC75E9">
        <w:t>lected from government, company</w:t>
      </w:r>
      <w:r w:rsidR="00000A32">
        <w:t xml:space="preserve"> and other public resources.</w:t>
      </w:r>
      <w:r w:rsidR="001F396D">
        <w:t xml:space="preserve"> Pre-treatment b</w:t>
      </w:r>
      <w:r w:rsidR="00EB53D9">
        <w:t xml:space="preserve">aseline characteristics of treatment and control cities in aspects such as GDP, population, and growth rates will be </w:t>
      </w:r>
      <w:r w:rsidR="001F396D">
        <w:t xml:space="preserve">recorded. </w:t>
      </w:r>
    </w:p>
    <w:p w:rsidR="00357F92" w:rsidRDefault="004C6C9A" w:rsidP="00EB53D9">
      <w:pPr>
        <w:spacing w:line="360" w:lineRule="auto"/>
      </w:pPr>
      <w:r>
        <w:t>For additional validation, a</w:t>
      </w:r>
      <w:r w:rsidR="00743FEB">
        <w:t xml:space="preserve"> T-test will be used to test for statistically significant differences and then sampling</w:t>
      </w:r>
      <w:r w:rsidR="00357F92">
        <w:t xml:space="preserve"> will be evaluated for b</w:t>
      </w:r>
      <w:r w:rsidR="00D17CF4">
        <w:t>alance. Lastly, the</w:t>
      </w:r>
      <w:r w:rsidR="00357F92">
        <w:t xml:space="preserve"> </w:t>
      </w:r>
      <w:r w:rsidR="00D52A2C">
        <w:t>baseline data</w:t>
      </w:r>
      <w:r w:rsidR="00357F92">
        <w:t xml:space="preserve"> will be used in the calculation of a difference in differenc</w:t>
      </w:r>
      <w:r w:rsidR="006E1D52">
        <w:t>e (DID) in order to remove time-</w:t>
      </w:r>
      <w:r w:rsidR="00357F92">
        <w:t>invariant dif</w:t>
      </w:r>
      <w:r w:rsidR="00020CA7">
        <w:t xml:space="preserve">ferences between cities </w:t>
      </w:r>
      <w:r w:rsidR="00D52A2C">
        <w:t>as shown below:</w:t>
      </w:r>
    </w:p>
    <w:p w:rsidR="00D17CF4" w:rsidRPr="001A59DF" w:rsidRDefault="00D52A2C" w:rsidP="001A59DF">
      <w:pPr>
        <w:spacing w:line="360" w:lineRule="auto"/>
      </w:pPr>
      <w:r w:rsidRPr="003B129E">
        <w:rPr>
          <w:highlight w:val="lightGray"/>
        </w:rPr>
        <w:t>(E[Y</w:t>
      </w:r>
      <w:r w:rsidRPr="003B129E">
        <w:rPr>
          <w:highlight w:val="lightGray"/>
          <w:vertAlign w:val="subscript"/>
        </w:rPr>
        <w:t>1c</w:t>
      </w:r>
      <w:r w:rsidRPr="003B129E">
        <w:rPr>
          <w:highlight w:val="lightGray"/>
        </w:rPr>
        <w:t xml:space="preserve"> | t=1] – E[Y</w:t>
      </w:r>
      <w:r w:rsidRPr="003B129E">
        <w:rPr>
          <w:highlight w:val="lightGray"/>
          <w:vertAlign w:val="subscript"/>
        </w:rPr>
        <w:t>1c</w:t>
      </w:r>
      <w:r w:rsidRPr="003B129E">
        <w:rPr>
          <w:highlight w:val="lightGray"/>
        </w:rPr>
        <w:t xml:space="preserve"> | t=0]) – (E[Y</w:t>
      </w:r>
      <w:r w:rsidRPr="003B129E">
        <w:rPr>
          <w:highlight w:val="lightGray"/>
          <w:vertAlign w:val="subscript"/>
        </w:rPr>
        <w:t>0c</w:t>
      </w:r>
      <w:r w:rsidRPr="003B129E">
        <w:rPr>
          <w:highlight w:val="lightGray"/>
        </w:rPr>
        <w:t xml:space="preserve"> | t=1] – E[Y</w:t>
      </w:r>
      <w:r w:rsidRPr="003B129E">
        <w:rPr>
          <w:highlight w:val="lightGray"/>
          <w:vertAlign w:val="subscript"/>
        </w:rPr>
        <w:t>0C</w:t>
      </w:r>
      <w:r w:rsidRPr="003B129E">
        <w:rPr>
          <w:highlight w:val="lightGray"/>
        </w:rPr>
        <w:t xml:space="preserve"> | t=0])</w:t>
      </w:r>
      <w:r>
        <w:t xml:space="preserve"> </w:t>
      </w:r>
      <w:r w:rsidR="00DC3AC3">
        <w:t xml:space="preserve">                                                                                     [1]</w:t>
      </w:r>
    </w:p>
    <w:p w:rsidR="003B129E" w:rsidRDefault="00D52A2C" w:rsidP="00EB53D9">
      <w:pPr>
        <w:spacing w:line="360" w:lineRule="auto"/>
      </w:pPr>
      <w:r w:rsidRPr="009E4B26">
        <w:t xml:space="preserve">The OLS regression model </w:t>
      </w:r>
      <w:r w:rsidR="00DA7786">
        <w:t>to be</w:t>
      </w:r>
      <w:r w:rsidRPr="009E4B26">
        <w:t xml:space="preserve"> used is</w:t>
      </w:r>
      <w:r w:rsidR="00011273" w:rsidRPr="009E4B26">
        <w:t>:</w:t>
      </w:r>
    </w:p>
    <w:p w:rsidR="00D63EB4" w:rsidRPr="00DC3AC3" w:rsidRDefault="00011273" w:rsidP="00EB53D9">
      <w:pPr>
        <w:spacing w:line="360" w:lineRule="auto"/>
      </w:pPr>
      <w:r w:rsidRPr="003B129E">
        <w:rPr>
          <w:highlight w:val="lightGray"/>
        </w:rPr>
        <w:t>Y</w:t>
      </w:r>
      <w:r w:rsidRPr="003B129E">
        <w:rPr>
          <w:highlight w:val="lightGray"/>
          <w:vertAlign w:val="subscript"/>
        </w:rPr>
        <w:t>ct</w:t>
      </w:r>
      <w:r w:rsidRPr="003B129E">
        <w:rPr>
          <w:highlight w:val="lightGray"/>
        </w:rPr>
        <w:t xml:space="preserve"> = B</w:t>
      </w:r>
      <w:r w:rsidRPr="003B129E">
        <w:rPr>
          <w:highlight w:val="lightGray"/>
          <w:vertAlign w:val="subscript"/>
        </w:rPr>
        <w:t xml:space="preserve">0 </w:t>
      </w:r>
      <w:r w:rsidRPr="003B129E">
        <w:rPr>
          <w:highlight w:val="lightGray"/>
        </w:rPr>
        <w:t>+ B</w:t>
      </w:r>
      <w:r w:rsidRPr="003B129E">
        <w:rPr>
          <w:highlight w:val="lightGray"/>
          <w:vertAlign w:val="subscript"/>
        </w:rPr>
        <w:t>1</w:t>
      </w:r>
      <w:r w:rsidRPr="003B129E">
        <w:rPr>
          <w:highlight w:val="lightGray"/>
        </w:rPr>
        <w:t>T</w:t>
      </w:r>
      <w:r w:rsidRPr="003B129E">
        <w:rPr>
          <w:highlight w:val="lightGray"/>
          <w:vertAlign w:val="subscript"/>
        </w:rPr>
        <w:t>c</w:t>
      </w:r>
      <w:r w:rsidRPr="003B129E">
        <w:rPr>
          <w:highlight w:val="lightGray"/>
        </w:rPr>
        <w:t xml:space="preserve"> + B</w:t>
      </w:r>
      <w:r w:rsidRPr="003B129E">
        <w:rPr>
          <w:highlight w:val="lightGray"/>
          <w:vertAlign w:val="subscript"/>
        </w:rPr>
        <w:t>2</w:t>
      </w:r>
      <w:r w:rsidRPr="003B129E">
        <w:rPr>
          <w:highlight w:val="lightGray"/>
        </w:rPr>
        <w:t>post</w:t>
      </w:r>
      <w:r w:rsidRPr="003B129E">
        <w:rPr>
          <w:highlight w:val="lightGray"/>
          <w:vertAlign w:val="subscript"/>
        </w:rPr>
        <w:t>t</w:t>
      </w:r>
      <w:r w:rsidRPr="003B129E">
        <w:rPr>
          <w:highlight w:val="lightGray"/>
        </w:rPr>
        <w:t xml:space="preserve"> + B</w:t>
      </w:r>
      <w:r w:rsidRPr="003B129E">
        <w:rPr>
          <w:highlight w:val="lightGray"/>
          <w:vertAlign w:val="subscript"/>
        </w:rPr>
        <w:t>3</w:t>
      </w:r>
      <w:r w:rsidRPr="003B129E">
        <w:rPr>
          <w:highlight w:val="lightGray"/>
        </w:rPr>
        <w:t>(T*post)</w:t>
      </w:r>
      <w:r w:rsidRPr="003B129E">
        <w:rPr>
          <w:highlight w:val="lightGray"/>
          <w:vertAlign w:val="subscript"/>
        </w:rPr>
        <w:t>ct</w:t>
      </w:r>
      <w:r w:rsidRPr="003B129E">
        <w:rPr>
          <w:highlight w:val="lightGray"/>
        </w:rPr>
        <w:t xml:space="preserve"> + E</w:t>
      </w:r>
      <w:r w:rsidRPr="003B129E">
        <w:rPr>
          <w:highlight w:val="lightGray"/>
          <w:vertAlign w:val="subscript"/>
        </w:rPr>
        <w:t>ct</w:t>
      </w:r>
      <w:r w:rsidR="00DC3AC3">
        <w:rPr>
          <w:vertAlign w:val="subscript"/>
        </w:rPr>
        <w:t xml:space="preserve">          </w:t>
      </w:r>
      <w:r w:rsidR="00DC3AC3">
        <w:t xml:space="preserve">                                                                                                       [2]</w:t>
      </w:r>
    </w:p>
    <w:p w:rsidR="00D63EB4" w:rsidRPr="00523DB9" w:rsidRDefault="00D63EB4" w:rsidP="00523DB9">
      <w:pPr>
        <w:pStyle w:val="NoSpacing"/>
        <w:numPr>
          <w:ilvl w:val="0"/>
          <w:numId w:val="6"/>
        </w:numPr>
        <w:rPr>
          <w:sz w:val="18"/>
          <w:szCs w:val="18"/>
        </w:rPr>
      </w:pPr>
      <w:r>
        <w:lastRenderedPageBreak/>
        <w:t>Y</w:t>
      </w:r>
      <w:r>
        <w:rPr>
          <w:vertAlign w:val="subscript"/>
        </w:rPr>
        <w:t>ct</w:t>
      </w:r>
      <w:r>
        <w:t xml:space="preserve"> = The outcome variable that is an economic index of lending and investment </w:t>
      </w:r>
      <w:r w:rsidR="00523DB9">
        <w:t>for city “c” at time “t”</w:t>
      </w:r>
    </w:p>
    <w:p w:rsidR="00523DB9" w:rsidRPr="00523DB9" w:rsidRDefault="00523DB9" w:rsidP="00523DB9">
      <w:pPr>
        <w:pStyle w:val="NoSpacing"/>
        <w:numPr>
          <w:ilvl w:val="0"/>
          <w:numId w:val="6"/>
        </w:numPr>
        <w:rPr>
          <w:sz w:val="18"/>
          <w:szCs w:val="18"/>
        </w:rPr>
      </w:pPr>
      <w:r>
        <w:t>T</w:t>
      </w:r>
      <w:r>
        <w:rPr>
          <w:vertAlign w:val="subscript"/>
        </w:rPr>
        <w:t>c</w:t>
      </w:r>
      <w:r>
        <w:t xml:space="preserve"> = dummy if the observation city “c” is in the SCS treatment group</w:t>
      </w:r>
    </w:p>
    <w:p w:rsidR="00523DB9" w:rsidRPr="009E4B26" w:rsidRDefault="009E4B26" w:rsidP="00523DB9">
      <w:pPr>
        <w:pStyle w:val="NoSpacing"/>
        <w:numPr>
          <w:ilvl w:val="0"/>
          <w:numId w:val="6"/>
        </w:numPr>
      </w:pPr>
      <w:r w:rsidRPr="009E4B26">
        <w:t>Post</w:t>
      </w:r>
      <w:r>
        <w:rPr>
          <w:vertAlign w:val="subscript"/>
        </w:rPr>
        <w:t>t</w:t>
      </w:r>
      <w:r w:rsidR="006E1D52">
        <w:t xml:space="preserve"> = post-</w:t>
      </w:r>
      <w:r>
        <w:t>treatment dummy</w:t>
      </w:r>
      <w:r w:rsidR="008312A6">
        <w:t xml:space="preserve"> at time “t”</w:t>
      </w:r>
      <w:r>
        <w:t xml:space="preserve"> </w:t>
      </w:r>
      <w:r w:rsidRPr="009E4B26">
        <w:t xml:space="preserve"> </w:t>
      </w:r>
    </w:p>
    <w:p w:rsidR="00523DB9" w:rsidRPr="00D63EB4" w:rsidRDefault="00523DB9" w:rsidP="00523DB9">
      <w:pPr>
        <w:pStyle w:val="NoSpacing"/>
        <w:rPr>
          <w:sz w:val="18"/>
          <w:szCs w:val="18"/>
        </w:rPr>
      </w:pPr>
    </w:p>
    <w:p w:rsidR="000D1C88" w:rsidRDefault="000D1C88" w:rsidP="00523DB9">
      <w:pPr>
        <w:pStyle w:val="NoSpacing"/>
      </w:pPr>
    </w:p>
    <w:p w:rsidR="00D63EB4" w:rsidRDefault="00FA1B1E" w:rsidP="00523DB9">
      <w:pPr>
        <w:pStyle w:val="NoSpacing"/>
      </w:pPr>
      <w:r>
        <w:t xml:space="preserve">Additionally, </w:t>
      </w:r>
      <w:r w:rsidR="000D1C88">
        <w:t>a cluster MDE is</w:t>
      </w:r>
      <w:r>
        <w:t xml:space="preserve"> performed, given the following specifications:</w:t>
      </w:r>
    </w:p>
    <w:p w:rsidR="000D1C88" w:rsidRDefault="000D1C88" w:rsidP="00523DB9">
      <w:pPr>
        <w:pStyle w:val="NoSpacing"/>
      </w:pPr>
    </w:p>
    <w:p w:rsidR="00FA1B1E" w:rsidRDefault="000D1C88" w:rsidP="00523DB9">
      <w:pPr>
        <w:pStyle w:val="NoSpacing"/>
      </w:pPr>
      <w:r w:rsidRPr="000D1C88">
        <w:rPr>
          <w:noProof/>
        </w:rPr>
        <w:drawing>
          <wp:inline distT="0" distB="0" distL="0" distR="0" wp14:anchorId="71166437" wp14:editId="030F7EEE">
            <wp:extent cx="960120" cy="11049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120" cy="1104900"/>
                    </a:xfrm>
                    <a:prstGeom prst="rect">
                      <a:avLst/>
                    </a:prstGeom>
                    <a:noFill/>
                    <a:ln>
                      <a:noFill/>
                    </a:ln>
                  </pic:spPr>
                </pic:pic>
              </a:graphicData>
            </a:graphic>
          </wp:inline>
        </w:drawing>
      </w:r>
    </w:p>
    <w:p w:rsidR="000574BC" w:rsidRDefault="000574BC" w:rsidP="00523DB9">
      <w:pPr>
        <w:pStyle w:val="NoSpacing"/>
      </w:pPr>
    </w:p>
    <w:p w:rsidR="009B4217" w:rsidRDefault="00CE4C5B" w:rsidP="00523DB9">
      <w:pPr>
        <w:pStyle w:val="NoSpacing"/>
      </w:pPr>
      <w:r>
        <w:t>Parameters</w:t>
      </w:r>
      <w:r w:rsidR="009B4217">
        <w:t xml:space="preserve"> </w:t>
      </w:r>
      <w:r>
        <w:t>#</w:t>
      </w:r>
      <w:r w:rsidR="009B4217">
        <w:t>1:</w:t>
      </w:r>
    </w:p>
    <w:p w:rsidR="00E51A9A" w:rsidRDefault="006A02FC" w:rsidP="00523DB9">
      <w:pPr>
        <w:pStyle w:val="NoSpacing"/>
      </w:pPr>
      <w:r w:rsidRPr="006A02FC">
        <w:rPr>
          <w:noProof/>
        </w:rPr>
        <w:drawing>
          <wp:inline distT="0" distB="0" distL="0" distR="0">
            <wp:extent cx="3893820" cy="1287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820" cy="1287780"/>
                    </a:xfrm>
                    <a:prstGeom prst="rect">
                      <a:avLst/>
                    </a:prstGeom>
                    <a:noFill/>
                    <a:ln>
                      <a:noFill/>
                    </a:ln>
                  </pic:spPr>
                </pic:pic>
              </a:graphicData>
            </a:graphic>
          </wp:inline>
        </w:drawing>
      </w:r>
    </w:p>
    <w:p w:rsidR="009B4217" w:rsidRDefault="009B4217" w:rsidP="00523DB9">
      <w:pPr>
        <w:pStyle w:val="NoSpacing"/>
      </w:pPr>
    </w:p>
    <w:p w:rsidR="00CE4C5B" w:rsidRDefault="00CE4C5B" w:rsidP="00523DB9">
      <w:pPr>
        <w:pStyle w:val="NoSpacing"/>
      </w:pPr>
      <w:r>
        <w:t>Parameters #2:</w:t>
      </w:r>
    </w:p>
    <w:p w:rsidR="009B4217" w:rsidRDefault="006A02FC" w:rsidP="00523DB9">
      <w:pPr>
        <w:pStyle w:val="NoSpacing"/>
      </w:pPr>
      <w:r w:rsidRPr="006A02FC">
        <w:rPr>
          <w:noProof/>
        </w:rPr>
        <w:drawing>
          <wp:inline distT="0" distB="0" distL="0" distR="0">
            <wp:extent cx="3893820" cy="1287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820" cy="1287780"/>
                    </a:xfrm>
                    <a:prstGeom prst="rect">
                      <a:avLst/>
                    </a:prstGeom>
                    <a:noFill/>
                    <a:ln>
                      <a:noFill/>
                    </a:ln>
                  </pic:spPr>
                </pic:pic>
              </a:graphicData>
            </a:graphic>
          </wp:inline>
        </w:drawing>
      </w:r>
    </w:p>
    <w:p w:rsidR="00CE4C5B" w:rsidRDefault="00CE4C5B" w:rsidP="00523DB9">
      <w:pPr>
        <w:pStyle w:val="NoSpacing"/>
      </w:pPr>
    </w:p>
    <w:p w:rsidR="00CE4C5B" w:rsidRDefault="00CE4C5B" w:rsidP="00523DB9">
      <w:pPr>
        <w:pStyle w:val="NoSpacing"/>
      </w:pPr>
      <w:r>
        <w:t>Parameters #3:</w:t>
      </w:r>
    </w:p>
    <w:p w:rsidR="00CE4C5B" w:rsidRDefault="006A02FC" w:rsidP="00523DB9">
      <w:pPr>
        <w:pStyle w:val="NoSpacing"/>
      </w:pPr>
      <w:r w:rsidRPr="006A02FC">
        <w:rPr>
          <w:noProof/>
        </w:rPr>
        <w:drawing>
          <wp:inline distT="0" distB="0" distL="0" distR="0">
            <wp:extent cx="3893820" cy="1287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820" cy="1287780"/>
                    </a:xfrm>
                    <a:prstGeom prst="rect">
                      <a:avLst/>
                    </a:prstGeom>
                    <a:noFill/>
                    <a:ln>
                      <a:noFill/>
                    </a:ln>
                  </pic:spPr>
                </pic:pic>
              </a:graphicData>
            </a:graphic>
          </wp:inline>
        </w:drawing>
      </w:r>
    </w:p>
    <w:p w:rsidR="009B4217" w:rsidRDefault="009B4217" w:rsidP="00523DB9">
      <w:pPr>
        <w:pStyle w:val="NoSpacing"/>
      </w:pPr>
    </w:p>
    <w:p w:rsidR="00E51A9A" w:rsidRDefault="00E51A9A" w:rsidP="009C1B52">
      <w:pPr>
        <w:pStyle w:val="NoSpacing"/>
        <w:spacing w:line="360" w:lineRule="auto"/>
      </w:pPr>
      <w:r w:rsidRPr="00E51A9A">
        <w:t>First</w:t>
      </w:r>
      <w:r>
        <w:t>, it is assumed that t</w:t>
      </w:r>
      <w:r w:rsidRPr="00E51A9A">
        <w:rPr>
          <w:noProof/>
          <w:vertAlign w:val="subscript"/>
        </w:rPr>
        <w:t xml:space="preserve"> </w:t>
      </w:r>
      <w:r w:rsidRPr="0044467B">
        <w:rPr>
          <w:noProof/>
          <w:vertAlign w:val="subscript"/>
        </w:rPr>
        <w:t>α</w:t>
      </w:r>
      <w:r>
        <w:rPr>
          <w:noProof/>
          <w:vertAlign w:val="subscript"/>
        </w:rPr>
        <w:t>/2</w:t>
      </w:r>
      <w:r w:rsidRPr="00E51A9A">
        <w:t xml:space="preserve"> = 1.9</w:t>
      </w:r>
      <w:r>
        <w:t>6, given a 5% significance, t</w:t>
      </w:r>
      <w:r>
        <w:rPr>
          <w:vertAlign w:val="subscript"/>
        </w:rPr>
        <w:t>1-k</w:t>
      </w:r>
      <w:r w:rsidRPr="00E51A9A">
        <w:t xml:space="preserve">= .84, assuming 80% power, </w:t>
      </w:r>
      <w:r w:rsidR="00E32B13">
        <w:t xml:space="preserve">equal </w:t>
      </w:r>
      <w:r w:rsidRPr="00E51A9A">
        <w:t>proportion</w:t>
      </w:r>
      <w:r w:rsidR="00E32B13">
        <w:t>s</w:t>
      </w:r>
      <w:r w:rsidR="00107C57">
        <w:t>(P)</w:t>
      </w:r>
      <w:r w:rsidRPr="00E51A9A">
        <w:t>, and σ = 1</w:t>
      </w:r>
      <w:r w:rsidR="00C153C6">
        <w:t xml:space="preserve">. </w:t>
      </w:r>
      <w:r w:rsidR="00AA6320">
        <w:t>Further, b</w:t>
      </w:r>
      <w:r w:rsidR="00C63629">
        <w:t xml:space="preserve">asing parameters off a comparable study on a large-scale cluster RCT in China to see the effect of sodium reduction on </w:t>
      </w:r>
      <w:r w:rsidR="00CF53E7">
        <w:t>rural health,</w:t>
      </w:r>
      <w:r w:rsidR="00107C57">
        <w:t xml:space="preserve"> </w:t>
      </w:r>
      <w:r w:rsidR="000574BC" w:rsidRPr="000574BC">
        <w:t>ρ (ICC)</w:t>
      </w:r>
      <w:r w:rsidR="000574BC">
        <w:t xml:space="preserve"> value</w:t>
      </w:r>
      <w:r w:rsidR="00CF53E7">
        <w:t>s</w:t>
      </w:r>
      <w:r w:rsidR="000574BC">
        <w:t xml:space="preserve"> </w:t>
      </w:r>
      <w:r w:rsidR="00CF53E7">
        <w:t xml:space="preserve">vary from </w:t>
      </w:r>
      <w:r w:rsidR="000574BC">
        <w:t>of .0</w:t>
      </w:r>
      <w:r w:rsidR="00CF53E7">
        <w:t xml:space="preserve">4-.06 </w:t>
      </w:r>
      <w:r w:rsidR="00CF53E7">
        <w:lastRenderedPageBreak/>
        <w:t>while n (# of businesses in each city) ranges from 300-1000.</w:t>
      </w:r>
      <w:r w:rsidR="00AA6320">
        <w:rPr>
          <w:rStyle w:val="FootnoteReference"/>
        </w:rPr>
        <w:footnoteReference w:id="7"/>
      </w:r>
      <w:r w:rsidR="00CF53E7">
        <w:t xml:space="preserve"> </w:t>
      </w:r>
      <w:r w:rsidR="00C324E3">
        <w:t>J (# of city clusters) remains at 60 due to the limitation of 70+ Tier III cities in China.</w:t>
      </w:r>
      <w:r w:rsidR="000C3AE7">
        <w:t xml:space="preserve"> The cluster MDE values vary from 0.146 to 0.182, which is reasonable in comparison to a </w:t>
      </w:r>
      <w:r w:rsidR="00C3599A">
        <w:t xml:space="preserve">general </w:t>
      </w:r>
      <w:r w:rsidR="000C3AE7">
        <w:t>guideline of 0.2 or less.</w:t>
      </w:r>
      <w:r w:rsidR="00C3599A">
        <w:t xml:space="preserve"> </w:t>
      </w:r>
    </w:p>
    <w:p w:rsidR="00FA1B1E" w:rsidRPr="00011273" w:rsidRDefault="009E2EBD" w:rsidP="009E2EBD">
      <w:pPr>
        <w:pStyle w:val="NoSpacing"/>
        <w:tabs>
          <w:tab w:val="left" w:pos="5724"/>
        </w:tabs>
      </w:pPr>
      <w:r>
        <w:tab/>
      </w:r>
    </w:p>
    <w:p w:rsidR="00E336D4" w:rsidRDefault="00E336D4" w:rsidP="00E336D4">
      <w:pPr>
        <w:spacing w:line="360" w:lineRule="auto"/>
      </w:pPr>
      <w:r>
        <w:t>Given the intended research design, we are assuming:</w:t>
      </w:r>
    </w:p>
    <w:p w:rsidR="00E336D4" w:rsidRDefault="00E336D4" w:rsidP="00E336D4">
      <w:pPr>
        <w:pStyle w:val="ListParagraph"/>
        <w:numPr>
          <w:ilvl w:val="0"/>
          <w:numId w:val="9"/>
        </w:numPr>
        <w:spacing w:line="360" w:lineRule="auto"/>
      </w:pPr>
      <w:r>
        <w:t>Completion of the government planning period will end in 2020 without delay or revisions</w:t>
      </w:r>
    </w:p>
    <w:p w:rsidR="00567C37" w:rsidRDefault="00E336D4" w:rsidP="00E336D4">
      <w:pPr>
        <w:pStyle w:val="ListParagraph"/>
        <w:numPr>
          <w:ilvl w:val="0"/>
          <w:numId w:val="9"/>
        </w:numPr>
        <w:spacing w:line="360" w:lineRule="auto"/>
      </w:pPr>
      <w:r>
        <w:t xml:space="preserve">The SCS program for each city will be consistently defined </w:t>
      </w:r>
      <w:r w:rsidR="00DF32CE">
        <w:t>and applied</w:t>
      </w:r>
    </w:p>
    <w:p w:rsidR="00F9072C" w:rsidRDefault="00F9072C" w:rsidP="00F9072C">
      <w:pPr>
        <w:pStyle w:val="ListParagraph"/>
        <w:numPr>
          <w:ilvl w:val="0"/>
          <w:numId w:val="9"/>
        </w:numPr>
        <w:spacing w:line="360" w:lineRule="auto"/>
      </w:pPr>
      <w:r>
        <w:t>In 2021, at least 30 new Tier III cities will be on a</w:t>
      </w:r>
      <w:r w:rsidR="006E1D52">
        <w:t>n</w:t>
      </w:r>
      <w:r>
        <w:t xml:space="preserve"> SCS plan to act as </w:t>
      </w:r>
      <w:r w:rsidR="006E1D52">
        <w:t xml:space="preserve">a </w:t>
      </w:r>
      <w:r>
        <w:t>treatment</w:t>
      </w:r>
    </w:p>
    <w:p w:rsidR="00393C8C" w:rsidRDefault="00393C8C" w:rsidP="00E336D4">
      <w:pPr>
        <w:pStyle w:val="ListParagraph"/>
        <w:numPr>
          <w:ilvl w:val="0"/>
          <w:numId w:val="9"/>
        </w:numPr>
        <w:spacing w:line="360" w:lineRule="auto"/>
      </w:pPr>
      <w:r>
        <w:t xml:space="preserve">The SCS program will stay consistent in its methodology in the </w:t>
      </w:r>
      <w:r w:rsidR="00D400DE">
        <w:t>10-year</w:t>
      </w:r>
      <w:r>
        <w:t xml:space="preserve"> study time frame</w:t>
      </w:r>
    </w:p>
    <w:p w:rsidR="00393C8C" w:rsidRDefault="00567C37" w:rsidP="00393C8C">
      <w:pPr>
        <w:pStyle w:val="ListParagraph"/>
        <w:numPr>
          <w:ilvl w:val="0"/>
          <w:numId w:val="9"/>
        </w:numPr>
        <w:spacing w:line="360" w:lineRule="auto"/>
      </w:pPr>
      <w:r>
        <w:t>The government, cities, and companies will allow access to data on financials, SCS</w:t>
      </w:r>
      <w:r w:rsidR="000A6B24">
        <w:t xml:space="preserve"> metrics, and other information</w:t>
      </w:r>
      <w:r>
        <w:t xml:space="preserve"> </w:t>
      </w:r>
      <w:r w:rsidR="00E336D4">
        <w:t xml:space="preserve"> </w:t>
      </w:r>
    </w:p>
    <w:p w:rsidR="00E336D4" w:rsidRDefault="00E336D4" w:rsidP="00393C8C">
      <w:pPr>
        <w:pStyle w:val="ListParagraph"/>
        <w:numPr>
          <w:ilvl w:val="0"/>
          <w:numId w:val="9"/>
        </w:numPr>
        <w:spacing w:line="360" w:lineRule="auto"/>
      </w:pPr>
      <w:r>
        <w:t xml:space="preserve">Tier III cities will have </w:t>
      </w:r>
      <w:r w:rsidR="00654AB3">
        <w:t xml:space="preserve">clothing </w:t>
      </w:r>
      <w:r>
        <w:t xml:space="preserve">manufacturing activity </w:t>
      </w:r>
    </w:p>
    <w:p w:rsidR="00D400DE" w:rsidRDefault="00D400DE" w:rsidP="00D400DE">
      <w:pPr>
        <w:pStyle w:val="Heading1"/>
        <w:numPr>
          <w:ilvl w:val="0"/>
          <w:numId w:val="2"/>
        </w:numPr>
        <w:spacing w:line="360" w:lineRule="auto"/>
        <w:rPr>
          <w:color w:val="auto"/>
        </w:rPr>
      </w:pPr>
      <w:r>
        <w:rPr>
          <w:color w:val="auto"/>
        </w:rPr>
        <w:t>Threats to validity and conclusion</w:t>
      </w:r>
    </w:p>
    <w:p w:rsidR="00F91C27" w:rsidRDefault="00065A78" w:rsidP="008F1A17">
      <w:pPr>
        <w:spacing w:line="360" w:lineRule="auto"/>
      </w:pPr>
      <w:r>
        <w:t xml:space="preserve">There is </w:t>
      </w:r>
      <w:r w:rsidR="00F37757">
        <w:t xml:space="preserve">high uncertainty </w:t>
      </w:r>
      <w:r w:rsidR="006E0455">
        <w:t>of how the government plans to define or implement the SCS natio</w:t>
      </w:r>
      <w:r w:rsidR="00327E6C">
        <w:t xml:space="preserve">nwide at the end of 2020. </w:t>
      </w:r>
      <w:r w:rsidR="00A71813">
        <w:t>Further, i</w:t>
      </w:r>
      <w:r w:rsidR="00327E6C">
        <w:t>t is</w:t>
      </w:r>
      <w:r w:rsidR="006E0455">
        <w:t xml:space="preserve"> clear from the pilot program of several </w:t>
      </w:r>
      <w:r w:rsidR="002C2760">
        <w:t xml:space="preserve">dozen cities, </w:t>
      </w:r>
      <w:r w:rsidR="00C02A03">
        <w:t>that the program does vary in its scope and criteria</w:t>
      </w:r>
      <w:r w:rsidR="006A16C0">
        <w:t>. F</w:t>
      </w:r>
      <w:r w:rsidR="00C75CF9">
        <w:t xml:space="preserve">or example, some cities had an additional point scoring system, whereas others did not. </w:t>
      </w:r>
      <w:r w:rsidR="00964574">
        <w:t>The unpredictability of the program, the roll-out, and access to government data will be the key concerns in the current research design.</w:t>
      </w:r>
    </w:p>
    <w:p w:rsidR="0032048E" w:rsidRDefault="006A7CF5" w:rsidP="008F1A17">
      <w:pPr>
        <w:spacing w:line="360" w:lineRule="auto"/>
      </w:pPr>
      <w:r>
        <w:t>To conclude, t</w:t>
      </w:r>
      <w:r w:rsidR="00750E22">
        <w:t xml:space="preserve">here are significant policy implications from understanding the effects of the SCS affecting the behavior of companies based on rewards and punishments. </w:t>
      </w:r>
      <w:r w:rsidR="00340C9C">
        <w:t xml:space="preserve">On an individual level, the SCS program in pilot cities has been overall positive and anecdotally has changed </w:t>
      </w:r>
      <w:r w:rsidR="006E1D52">
        <w:t xml:space="preserve">the </w:t>
      </w:r>
      <w:r w:rsidR="00340C9C">
        <w:t>behavior of its citizens to follow</w:t>
      </w:r>
      <w:r w:rsidR="00750E22">
        <w:t xml:space="preserve"> </w:t>
      </w:r>
      <w:r w:rsidR="00340C9C">
        <w:t xml:space="preserve">laws for fear of the repercussions. </w:t>
      </w:r>
      <w:r w:rsidR="00B13B49">
        <w:t xml:space="preserve">There is </w:t>
      </w:r>
      <w:r w:rsidR="006E1D52">
        <w:t xml:space="preserve">a </w:t>
      </w:r>
      <w:r w:rsidR="00B13B49">
        <w:t xml:space="preserve">reason to believe that </w:t>
      </w:r>
      <w:r w:rsidR="003A2ED5">
        <w:t>companies will respond similarly to these incentives.</w:t>
      </w:r>
      <w:r w:rsidR="002C1702">
        <w:t xml:space="preserve"> </w:t>
      </w:r>
    </w:p>
    <w:p w:rsidR="00535CE7" w:rsidRDefault="002C1702" w:rsidP="008F1A17">
      <w:pPr>
        <w:spacing w:line="360" w:lineRule="auto"/>
      </w:pPr>
      <w:r>
        <w:t xml:space="preserve">If the study shows </w:t>
      </w:r>
      <w:r w:rsidR="0073401A">
        <w:t>these incentives affect the lending and investment behavior of clothing manufacturers</w:t>
      </w:r>
      <w:r w:rsidR="0032048E">
        <w:t xml:space="preserve">, then there can be additional extrapolation into other industries as well in order to promote economic growth. </w:t>
      </w:r>
    </w:p>
    <w:p w:rsidR="002166F7" w:rsidRPr="002166F7" w:rsidRDefault="00964574" w:rsidP="008F1A17">
      <w:pPr>
        <w:spacing w:line="360" w:lineRule="auto"/>
      </w:pPr>
      <w:r>
        <w:lastRenderedPageBreak/>
        <w:t xml:space="preserve"> </w:t>
      </w:r>
      <w:r w:rsidR="00C75CF9">
        <w:t xml:space="preserve"> </w:t>
      </w:r>
    </w:p>
    <w:p w:rsidR="00FB2309" w:rsidRDefault="006E1D52" w:rsidP="00A92B40">
      <w:pPr>
        <w:pStyle w:val="Heading1"/>
        <w:numPr>
          <w:ilvl w:val="0"/>
          <w:numId w:val="2"/>
        </w:numPr>
        <w:spacing w:line="360" w:lineRule="auto"/>
        <w:rPr>
          <w:color w:val="auto"/>
        </w:rPr>
      </w:pPr>
      <w:r w:rsidRPr="006E1D52">
        <w:rPr>
          <w:color w:val="auto"/>
        </w:rPr>
        <w:t>Bibliography</w:t>
      </w:r>
    </w:p>
    <w:p w:rsidR="00FB2309" w:rsidRPr="00AB384B" w:rsidRDefault="00C46438" w:rsidP="009A668A">
      <w:pPr>
        <w:pStyle w:val="ListParagraph"/>
        <w:numPr>
          <w:ilvl w:val="0"/>
          <w:numId w:val="10"/>
        </w:numPr>
        <w:spacing w:line="360" w:lineRule="auto"/>
      </w:pPr>
      <w:r w:rsidRPr="00AB384B">
        <w:t>Qian, Yingyi; Wu, Jinglian (August 2000). “China’s Transition to a Market Economy: How Far across the River?”</w:t>
      </w:r>
      <w:r w:rsidR="007C2FEC" w:rsidRPr="00AB384B">
        <w:t xml:space="preserve">. Stanford Center for International Development. </w:t>
      </w:r>
    </w:p>
    <w:p w:rsidR="00AB384B" w:rsidRPr="00AB384B" w:rsidRDefault="00AB384B" w:rsidP="009A668A">
      <w:pPr>
        <w:pStyle w:val="ListParagraph"/>
        <w:numPr>
          <w:ilvl w:val="0"/>
          <w:numId w:val="10"/>
        </w:numPr>
        <w:spacing w:line="360" w:lineRule="auto"/>
      </w:pPr>
      <w:r>
        <w:t>Creemers, Rogier (May 2018). “</w:t>
      </w:r>
      <w:r w:rsidRPr="00CC0F3E">
        <w:t>China's Social Credit System: An Evolving Practice of Control</w:t>
      </w:r>
      <w:r>
        <w:t xml:space="preserve">”. SSRN. </w:t>
      </w:r>
    </w:p>
    <w:p w:rsidR="00FB2309" w:rsidRDefault="00013770" w:rsidP="009A668A">
      <w:pPr>
        <w:pStyle w:val="ListParagraph"/>
        <w:numPr>
          <w:ilvl w:val="0"/>
          <w:numId w:val="10"/>
        </w:numPr>
        <w:spacing w:line="360" w:lineRule="auto"/>
      </w:pPr>
      <w:r w:rsidRPr="00013770">
        <w:t>Hernández, Marco. "China city tiers". South China Morning Post. Retrieved 2018-04-01.</w:t>
      </w:r>
    </w:p>
    <w:p w:rsidR="00075560" w:rsidRDefault="00075560" w:rsidP="009A668A">
      <w:pPr>
        <w:pStyle w:val="ListParagraph"/>
        <w:numPr>
          <w:ilvl w:val="0"/>
          <w:numId w:val="10"/>
        </w:numPr>
        <w:spacing w:line="360" w:lineRule="auto"/>
      </w:pPr>
      <w:r w:rsidRPr="00075560">
        <w:t xml:space="preserve">Mistreanu, Simina (3 April 2018). "Life Inside China's Social Credit </w:t>
      </w:r>
      <w:r w:rsidR="000D0E88" w:rsidRPr="00075560">
        <w:t>Laboratory: The</w:t>
      </w:r>
      <w:r w:rsidRPr="00075560">
        <w:t xml:space="preserve"> party's massive experiment in ranking and monitoring Chinese cit</w:t>
      </w:r>
      <w:r w:rsidR="00E12432">
        <w:t>izens has already started</w:t>
      </w:r>
      <w:r w:rsidR="000D0E88">
        <w:t>”. Foreign</w:t>
      </w:r>
      <w:r w:rsidR="002B4163">
        <w:t xml:space="preserve"> Policy</w:t>
      </w:r>
      <w:r w:rsidRPr="00075560">
        <w:t>. Retrieved 15 December 2018.</w:t>
      </w:r>
    </w:p>
    <w:p w:rsidR="00933AE8" w:rsidRDefault="00463F71" w:rsidP="009A668A">
      <w:pPr>
        <w:pStyle w:val="ListParagraph"/>
        <w:numPr>
          <w:ilvl w:val="0"/>
          <w:numId w:val="10"/>
        </w:numPr>
        <w:spacing w:line="360" w:lineRule="auto"/>
      </w:pPr>
      <w:r>
        <w:t>Kostka, Genia (February 2019). “</w:t>
      </w:r>
      <w:r w:rsidRPr="00463F71">
        <w:t>China’s social credit systems and public opinion: Explaining high levels of approval</w:t>
      </w:r>
      <w:r>
        <w:t>”</w:t>
      </w:r>
      <w:r w:rsidR="00FE15FE">
        <w:t xml:space="preserve">. </w:t>
      </w:r>
      <w:r w:rsidR="00512706">
        <w:t xml:space="preserve">Sage Journals. </w:t>
      </w:r>
    </w:p>
    <w:p w:rsidR="00013770" w:rsidRDefault="004A7D77" w:rsidP="009A668A">
      <w:pPr>
        <w:pStyle w:val="ListParagraph"/>
        <w:numPr>
          <w:ilvl w:val="0"/>
          <w:numId w:val="10"/>
        </w:numPr>
        <w:spacing w:line="360" w:lineRule="auto"/>
      </w:pPr>
      <w:r>
        <w:t>Li, et al. (November 2013). “</w:t>
      </w:r>
      <w:r w:rsidRPr="004A7D77">
        <w:t>A LARGE-SCALE CLUSTER RANDOMIZED TRIAL TO DETERMINE THE EFFECTS OF COMMUNITY-BASED DIETARY SODIUM REDUCTION – THE CHINA RURAL HEALTH INITIATIVE SODIUM REDUCTION STUDY</w:t>
      </w:r>
      <w:r w:rsidR="00F25A54">
        <w:t>”. U.S. National Library of Medicine.</w:t>
      </w:r>
    </w:p>
    <w:p w:rsidR="006E1D52" w:rsidRPr="006E1D52" w:rsidRDefault="006E1D52" w:rsidP="006E1D52">
      <w:pPr>
        <w:spacing w:line="360" w:lineRule="auto"/>
        <w:jc w:val="center"/>
        <w:rPr>
          <w:sz w:val="28"/>
          <w:szCs w:val="28"/>
          <w:u w:val="single"/>
        </w:rPr>
      </w:pPr>
    </w:p>
    <w:p w:rsidR="004C3BBE" w:rsidRDefault="004C3BBE" w:rsidP="004316A0">
      <w:pPr>
        <w:spacing w:line="360" w:lineRule="auto"/>
        <w:rPr>
          <w:sz w:val="28"/>
          <w:szCs w:val="28"/>
        </w:rPr>
      </w:pPr>
    </w:p>
    <w:p w:rsidR="004C3BBE" w:rsidRDefault="004C3BBE" w:rsidP="004316A0">
      <w:pPr>
        <w:spacing w:line="360" w:lineRule="auto"/>
        <w:rPr>
          <w:sz w:val="28"/>
          <w:szCs w:val="28"/>
        </w:rPr>
      </w:pPr>
    </w:p>
    <w:p w:rsidR="004C3BBE" w:rsidRDefault="004C3BBE" w:rsidP="004316A0">
      <w:pPr>
        <w:spacing w:line="360" w:lineRule="auto"/>
        <w:rPr>
          <w:sz w:val="28"/>
          <w:szCs w:val="28"/>
        </w:rPr>
      </w:pPr>
    </w:p>
    <w:p w:rsidR="004C3BBE" w:rsidRDefault="004C3BBE" w:rsidP="004316A0">
      <w:pPr>
        <w:spacing w:line="360" w:lineRule="auto"/>
        <w:rPr>
          <w:sz w:val="28"/>
          <w:szCs w:val="28"/>
        </w:rPr>
      </w:pPr>
    </w:p>
    <w:p w:rsidR="004C3BBE" w:rsidRDefault="004C3BBE" w:rsidP="004316A0">
      <w:pPr>
        <w:spacing w:line="360" w:lineRule="auto"/>
        <w:rPr>
          <w:sz w:val="28"/>
          <w:szCs w:val="28"/>
        </w:rPr>
      </w:pPr>
    </w:p>
    <w:p w:rsidR="004C3BBE" w:rsidRDefault="004C3BBE" w:rsidP="004316A0">
      <w:pPr>
        <w:spacing w:line="360" w:lineRule="auto"/>
        <w:rPr>
          <w:sz w:val="28"/>
          <w:szCs w:val="28"/>
        </w:rPr>
      </w:pPr>
    </w:p>
    <w:p w:rsidR="004C3BBE" w:rsidRDefault="004C3BBE" w:rsidP="004316A0">
      <w:pPr>
        <w:spacing w:line="360" w:lineRule="auto"/>
        <w:rPr>
          <w:sz w:val="28"/>
          <w:szCs w:val="28"/>
        </w:rPr>
      </w:pPr>
    </w:p>
    <w:p w:rsidR="004C3BBE" w:rsidRDefault="004C3BBE" w:rsidP="004316A0">
      <w:pPr>
        <w:spacing w:line="360" w:lineRule="auto"/>
        <w:rPr>
          <w:sz w:val="28"/>
          <w:szCs w:val="28"/>
        </w:rPr>
      </w:pPr>
      <w:bookmarkStart w:id="0" w:name="_GoBack"/>
      <w:bookmarkEnd w:id="0"/>
    </w:p>
    <w:sectPr w:rsidR="004C3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DF1" w:rsidRDefault="000B1DF1" w:rsidP="004C3BBE">
      <w:pPr>
        <w:spacing w:after="0" w:line="240" w:lineRule="auto"/>
      </w:pPr>
      <w:r>
        <w:separator/>
      </w:r>
    </w:p>
  </w:endnote>
  <w:endnote w:type="continuationSeparator" w:id="0">
    <w:p w:rsidR="000B1DF1" w:rsidRDefault="000B1DF1" w:rsidP="004C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DF1" w:rsidRDefault="000B1DF1" w:rsidP="004C3BBE">
      <w:pPr>
        <w:spacing w:after="0" w:line="240" w:lineRule="auto"/>
      </w:pPr>
      <w:r>
        <w:separator/>
      </w:r>
    </w:p>
  </w:footnote>
  <w:footnote w:type="continuationSeparator" w:id="0">
    <w:p w:rsidR="000B1DF1" w:rsidRDefault="000B1DF1" w:rsidP="004C3BBE">
      <w:pPr>
        <w:spacing w:after="0" w:line="240" w:lineRule="auto"/>
      </w:pPr>
      <w:r>
        <w:continuationSeparator/>
      </w:r>
    </w:p>
  </w:footnote>
  <w:footnote w:id="1">
    <w:p w:rsidR="00215838" w:rsidRPr="00215838" w:rsidRDefault="004C3BBE" w:rsidP="00215838">
      <w:pPr>
        <w:spacing w:line="360" w:lineRule="auto"/>
        <w:rPr>
          <w:sz w:val="18"/>
          <w:szCs w:val="18"/>
        </w:rPr>
      </w:pPr>
      <w:r w:rsidRPr="00215838">
        <w:rPr>
          <w:rStyle w:val="FootnoteReference"/>
          <w:sz w:val="18"/>
          <w:szCs w:val="18"/>
        </w:rPr>
        <w:footnoteRef/>
      </w:r>
      <w:r w:rsidRPr="00215838">
        <w:rPr>
          <w:sz w:val="18"/>
          <w:szCs w:val="18"/>
        </w:rPr>
        <w:t xml:space="preserve"> </w:t>
      </w:r>
      <w:r w:rsidR="00215838" w:rsidRPr="00215838">
        <w:rPr>
          <w:sz w:val="18"/>
          <w:szCs w:val="18"/>
        </w:rPr>
        <w:t xml:space="preserve">Qian, Yingyi; Wu, Jinglian (August 2000). “China’s Transition to a Market Economy: How Far across the River?”. Stanford Center for International Development. </w:t>
      </w:r>
    </w:p>
    <w:p w:rsidR="004C3BBE" w:rsidRPr="00B14FAB" w:rsidRDefault="004C3BBE" w:rsidP="00B14FAB">
      <w:pPr>
        <w:rPr>
          <w:sz w:val="28"/>
          <w:szCs w:val="28"/>
          <w:u w:val="single"/>
        </w:rPr>
      </w:pPr>
    </w:p>
  </w:footnote>
  <w:footnote w:id="2">
    <w:p w:rsidR="00D35C70" w:rsidRPr="00B14FAB" w:rsidRDefault="00D35C70" w:rsidP="00D35C70">
      <w:pPr>
        <w:rPr>
          <w:sz w:val="28"/>
          <w:szCs w:val="28"/>
          <w:u w:val="single"/>
        </w:rPr>
      </w:pPr>
    </w:p>
  </w:footnote>
  <w:footnote w:id="3">
    <w:p w:rsidR="000E1134" w:rsidRPr="00215838" w:rsidRDefault="000E1134" w:rsidP="00215838">
      <w:pPr>
        <w:pStyle w:val="NoSpacing"/>
        <w:rPr>
          <w:sz w:val="18"/>
          <w:szCs w:val="18"/>
        </w:rPr>
      </w:pPr>
      <w:r w:rsidRPr="00215838">
        <w:rPr>
          <w:rStyle w:val="FootnoteReference"/>
          <w:sz w:val="18"/>
          <w:szCs w:val="18"/>
        </w:rPr>
        <w:footnoteRef/>
      </w:r>
      <w:r w:rsidRPr="00215838">
        <w:rPr>
          <w:sz w:val="18"/>
          <w:szCs w:val="18"/>
        </w:rPr>
        <w:t xml:space="preserve"> </w:t>
      </w:r>
      <w:r w:rsidR="00215838" w:rsidRPr="00215838">
        <w:rPr>
          <w:sz w:val="18"/>
          <w:szCs w:val="18"/>
        </w:rPr>
        <w:t xml:space="preserve">Creemers, Rogier (May 2018). “China's Social Credit System: An Evolving Practice of Control”. SSRN. </w:t>
      </w:r>
    </w:p>
  </w:footnote>
  <w:footnote w:id="4">
    <w:p w:rsidR="001C51C0" w:rsidRPr="00215838" w:rsidRDefault="001C51C0" w:rsidP="00215838">
      <w:pPr>
        <w:pStyle w:val="NoSpacing"/>
        <w:rPr>
          <w:sz w:val="18"/>
          <w:szCs w:val="18"/>
        </w:rPr>
      </w:pPr>
      <w:r w:rsidRPr="00215838">
        <w:rPr>
          <w:rStyle w:val="FootnoteReference"/>
          <w:sz w:val="18"/>
          <w:szCs w:val="18"/>
        </w:rPr>
        <w:footnoteRef/>
      </w:r>
      <w:r w:rsidRPr="00215838">
        <w:rPr>
          <w:sz w:val="18"/>
          <w:szCs w:val="18"/>
        </w:rPr>
        <w:t xml:space="preserve"> </w:t>
      </w:r>
      <w:r w:rsidR="00215838" w:rsidRPr="00215838">
        <w:rPr>
          <w:sz w:val="18"/>
          <w:szCs w:val="18"/>
        </w:rPr>
        <w:t>Hernández, Marco. "China city tiers". South China Morning Post. Retrieved 2018-04-01.</w:t>
      </w:r>
    </w:p>
  </w:footnote>
  <w:footnote w:id="5">
    <w:p w:rsidR="00374C8A" w:rsidRPr="00215838" w:rsidRDefault="00374C8A" w:rsidP="00215838">
      <w:pPr>
        <w:pStyle w:val="NoSpacing"/>
        <w:rPr>
          <w:sz w:val="18"/>
          <w:szCs w:val="18"/>
        </w:rPr>
      </w:pPr>
      <w:r w:rsidRPr="00215838">
        <w:rPr>
          <w:rStyle w:val="FootnoteReference"/>
          <w:sz w:val="18"/>
          <w:szCs w:val="18"/>
        </w:rPr>
        <w:footnoteRef/>
      </w:r>
      <w:r w:rsidRPr="00215838">
        <w:rPr>
          <w:sz w:val="18"/>
          <w:szCs w:val="18"/>
        </w:rPr>
        <w:t xml:space="preserve"> </w:t>
      </w:r>
      <w:r w:rsidR="00215838" w:rsidRPr="00215838">
        <w:rPr>
          <w:sz w:val="18"/>
          <w:szCs w:val="18"/>
        </w:rPr>
        <w:t xml:space="preserve">Mistreanu, Simina (3 April 2018). "Life Inside China's Social Credit </w:t>
      </w:r>
      <w:r w:rsidR="000D0E88" w:rsidRPr="00215838">
        <w:rPr>
          <w:sz w:val="18"/>
          <w:szCs w:val="18"/>
        </w:rPr>
        <w:t>Laboratory: The</w:t>
      </w:r>
      <w:r w:rsidR="00215838" w:rsidRPr="00215838">
        <w:rPr>
          <w:sz w:val="18"/>
          <w:szCs w:val="18"/>
        </w:rPr>
        <w:t xml:space="preserve"> party's massive experiment in ranking and monitoring Chinese citizens has already started</w:t>
      </w:r>
      <w:r w:rsidR="000D0E88" w:rsidRPr="00215838">
        <w:rPr>
          <w:sz w:val="18"/>
          <w:szCs w:val="18"/>
        </w:rPr>
        <w:t>”. Foreign</w:t>
      </w:r>
      <w:r w:rsidR="00215838" w:rsidRPr="00215838">
        <w:rPr>
          <w:sz w:val="18"/>
          <w:szCs w:val="18"/>
        </w:rPr>
        <w:t xml:space="preserve"> Policy. Retrieved 15 December 2018.</w:t>
      </w:r>
    </w:p>
  </w:footnote>
  <w:footnote w:id="6">
    <w:p w:rsidR="00146838" w:rsidRPr="003B4B92" w:rsidRDefault="00146838" w:rsidP="003B4B92">
      <w:pPr>
        <w:pStyle w:val="NoSpacing"/>
        <w:rPr>
          <w:sz w:val="18"/>
          <w:szCs w:val="18"/>
        </w:rPr>
      </w:pPr>
      <w:r w:rsidRPr="003B4B92">
        <w:rPr>
          <w:rStyle w:val="FootnoteReference"/>
          <w:sz w:val="18"/>
          <w:szCs w:val="18"/>
        </w:rPr>
        <w:footnoteRef/>
      </w:r>
      <w:r w:rsidRPr="003B4B92">
        <w:rPr>
          <w:sz w:val="18"/>
          <w:szCs w:val="18"/>
        </w:rPr>
        <w:t xml:space="preserve"> </w:t>
      </w:r>
      <w:r w:rsidR="003B4B92" w:rsidRPr="003B4B92">
        <w:rPr>
          <w:sz w:val="18"/>
          <w:szCs w:val="18"/>
        </w:rPr>
        <w:t xml:space="preserve">Kostka, Genia (February 2019). “China’s social credit systems and public opinion: Explaining high levels of approval”. Sage Journals. </w:t>
      </w:r>
    </w:p>
  </w:footnote>
  <w:footnote w:id="7">
    <w:p w:rsidR="00215838" w:rsidRPr="00215838" w:rsidRDefault="00AA6320" w:rsidP="00215838">
      <w:pPr>
        <w:pStyle w:val="NoSpacing"/>
        <w:rPr>
          <w:sz w:val="18"/>
          <w:szCs w:val="18"/>
        </w:rPr>
      </w:pPr>
      <w:r w:rsidRPr="00215838">
        <w:rPr>
          <w:rStyle w:val="FootnoteReference"/>
          <w:sz w:val="18"/>
          <w:szCs w:val="18"/>
        </w:rPr>
        <w:footnoteRef/>
      </w:r>
      <w:r w:rsidRPr="00215838">
        <w:rPr>
          <w:sz w:val="18"/>
          <w:szCs w:val="18"/>
        </w:rPr>
        <w:t xml:space="preserve"> </w:t>
      </w:r>
      <w:r w:rsidR="00215838" w:rsidRPr="00215838">
        <w:rPr>
          <w:sz w:val="18"/>
          <w:szCs w:val="18"/>
        </w:rPr>
        <w:t>Li, et al. (November 2013). “A LARGE-SCALE CLUSTER RANDOMIZED TRIAL TO DETERMINE THE EFFECTS OF COMMUNITY-BASED DIETARY SODIUM REDUCTION – THE CHINA RURAL HEALTH INITIATIVE SODIUM REDUCTION STUDY”. U.S. National Library of Medicine.</w:t>
      </w:r>
    </w:p>
    <w:p w:rsidR="00AA6320" w:rsidRDefault="00AA6320">
      <w:pPr>
        <w:pStyle w:val="Footnote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70"/>
    <w:multiLevelType w:val="hybridMultilevel"/>
    <w:tmpl w:val="4FC2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E31C5"/>
    <w:multiLevelType w:val="hybridMultilevel"/>
    <w:tmpl w:val="128C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137EF"/>
    <w:multiLevelType w:val="hybridMultilevel"/>
    <w:tmpl w:val="7AF68C22"/>
    <w:lvl w:ilvl="0" w:tplc="FF866CA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141BFF"/>
    <w:multiLevelType w:val="hybridMultilevel"/>
    <w:tmpl w:val="9CD2A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80F0A"/>
    <w:multiLevelType w:val="hybridMultilevel"/>
    <w:tmpl w:val="52724A4E"/>
    <w:lvl w:ilvl="0" w:tplc="1F684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61D8C"/>
    <w:multiLevelType w:val="hybridMultilevel"/>
    <w:tmpl w:val="98F8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9196D"/>
    <w:multiLevelType w:val="hybridMultilevel"/>
    <w:tmpl w:val="26E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91582"/>
    <w:multiLevelType w:val="hybridMultilevel"/>
    <w:tmpl w:val="8C783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FA2D22"/>
    <w:multiLevelType w:val="hybridMultilevel"/>
    <w:tmpl w:val="4F32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1E3439"/>
    <w:multiLevelType w:val="hybridMultilevel"/>
    <w:tmpl w:val="34FE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0"/>
  </w:num>
  <w:num w:numId="6">
    <w:abstractNumId w:val="8"/>
  </w:num>
  <w:num w:numId="7">
    <w:abstractNumId w:val="9"/>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tTQ0sDA3MzUwMjZX0lEKTi0uzszPAykwrAUAhEAozCwAAAA="/>
  </w:docVars>
  <w:rsids>
    <w:rsidRoot w:val="0026497A"/>
    <w:rsid w:val="00000A32"/>
    <w:rsid w:val="0000399F"/>
    <w:rsid w:val="00005638"/>
    <w:rsid w:val="000073F5"/>
    <w:rsid w:val="00011273"/>
    <w:rsid w:val="0001223A"/>
    <w:rsid w:val="00013770"/>
    <w:rsid w:val="00020CA7"/>
    <w:rsid w:val="0003018C"/>
    <w:rsid w:val="00032D99"/>
    <w:rsid w:val="0004162D"/>
    <w:rsid w:val="00045E0C"/>
    <w:rsid w:val="000525E4"/>
    <w:rsid w:val="00055502"/>
    <w:rsid w:val="000574BC"/>
    <w:rsid w:val="0006124A"/>
    <w:rsid w:val="00065A78"/>
    <w:rsid w:val="00067CB9"/>
    <w:rsid w:val="000720E7"/>
    <w:rsid w:val="0007258A"/>
    <w:rsid w:val="00075560"/>
    <w:rsid w:val="000771A5"/>
    <w:rsid w:val="00080303"/>
    <w:rsid w:val="00097AE6"/>
    <w:rsid w:val="000A0EC6"/>
    <w:rsid w:val="000A34B2"/>
    <w:rsid w:val="000A577C"/>
    <w:rsid w:val="000A6B24"/>
    <w:rsid w:val="000B1DF1"/>
    <w:rsid w:val="000B465D"/>
    <w:rsid w:val="000B591E"/>
    <w:rsid w:val="000C3AE7"/>
    <w:rsid w:val="000D0E88"/>
    <w:rsid w:val="000D1C88"/>
    <w:rsid w:val="000E0FAD"/>
    <w:rsid w:val="000E1134"/>
    <w:rsid w:val="000E6F56"/>
    <w:rsid w:val="000F5B59"/>
    <w:rsid w:val="00107C57"/>
    <w:rsid w:val="001119DF"/>
    <w:rsid w:val="001211B2"/>
    <w:rsid w:val="001306D1"/>
    <w:rsid w:val="001354AF"/>
    <w:rsid w:val="00146838"/>
    <w:rsid w:val="00157BCD"/>
    <w:rsid w:val="0017201E"/>
    <w:rsid w:val="0017362A"/>
    <w:rsid w:val="001809E4"/>
    <w:rsid w:val="00190539"/>
    <w:rsid w:val="00192818"/>
    <w:rsid w:val="00193D36"/>
    <w:rsid w:val="001A59DF"/>
    <w:rsid w:val="001B5B4C"/>
    <w:rsid w:val="001B793C"/>
    <w:rsid w:val="001C51C0"/>
    <w:rsid w:val="001D5245"/>
    <w:rsid w:val="001F396D"/>
    <w:rsid w:val="001F428A"/>
    <w:rsid w:val="00204AC5"/>
    <w:rsid w:val="0021261F"/>
    <w:rsid w:val="002136D9"/>
    <w:rsid w:val="00215838"/>
    <w:rsid w:val="002166F7"/>
    <w:rsid w:val="00224765"/>
    <w:rsid w:val="00226634"/>
    <w:rsid w:val="0024195E"/>
    <w:rsid w:val="00254B1A"/>
    <w:rsid w:val="0026497A"/>
    <w:rsid w:val="00265113"/>
    <w:rsid w:val="00275689"/>
    <w:rsid w:val="00276C58"/>
    <w:rsid w:val="00281604"/>
    <w:rsid w:val="002A3FE2"/>
    <w:rsid w:val="002A434C"/>
    <w:rsid w:val="002B015D"/>
    <w:rsid w:val="002B4163"/>
    <w:rsid w:val="002B7AEB"/>
    <w:rsid w:val="002C1702"/>
    <w:rsid w:val="002C2760"/>
    <w:rsid w:val="002C2E95"/>
    <w:rsid w:val="002D7402"/>
    <w:rsid w:val="002E4768"/>
    <w:rsid w:val="002F1583"/>
    <w:rsid w:val="002F52A0"/>
    <w:rsid w:val="00304D8E"/>
    <w:rsid w:val="003075F9"/>
    <w:rsid w:val="0032048E"/>
    <w:rsid w:val="00327E6C"/>
    <w:rsid w:val="00334EDE"/>
    <w:rsid w:val="00340C9C"/>
    <w:rsid w:val="00357F92"/>
    <w:rsid w:val="0037402B"/>
    <w:rsid w:val="00374C8A"/>
    <w:rsid w:val="003773A8"/>
    <w:rsid w:val="0038745F"/>
    <w:rsid w:val="00393C8C"/>
    <w:rsid w:val="00396EFD"/>
    <w:rsid w:val="003A2ED5"/>
    <w:rsid w:val="003B129E"/>
    <w:rsid w:val="003B207F"/>
    <w:rsid w:val="003B2811"/>
    <w:rsid w:val="003B2C56"/>
    <w:rsid w:val="003B4B92"/>
    <w:rsid w:val="003C022E"/>
    <w:rsid w:val="003C0A1A"/>
    <w:rsid w:val="003C0EB8"/>
    <w:rsid w:val="003F5A12"/>
    <w:rsid w:val="003F6BA5"/>
    <w:rsid w:val="003F6BB4"/>
    <w:rsid w:val="003F713C"/>
    <w:rsid w:val="00403381"/>
    <w:rsid w:val="004316A0"/>
    <w:rsid w:val="004371CB"/>
    <w:rsid w:val="00437CBB"/>
    <w:rsid w:val="004429AE"/>
    <w:rsid w:val="00446FDD"/>
    <w:rsid w:val="004473F2"/>
    <w:rsid w:val="0045639D"/>
    <w:rsid w:val="00456678"/>
    <w:rsid w:val="004571F4"/>
    <w:rsid w:val="00463F71"/>
    <w:rsid w:val="00464327"/>
    <w:rsid w:val="00464AE1"/>
    <w:rsid w:val="004914E3"/>
    <w:rsid w:val="004946C2"/>
    <w:rsid w:val="004A7D77"/>
    <w:rsid w:val="004C210A"/>
    <w:rsid w:val="004C24BA"/>
    <w:rsid w:val="004C3BBE"/>
    <w:rsid w:val="004C6C9A"/>
    <w:rsid w:val="004D224F"/>
    <w:rsid w:val="004D54A5"/>
    <w:rsid w:val="004D7356"/>
    <w:rsid w:val="004E42E4"/>
    <w:rsid w:val="004E5138"/>
    <w:rsid w:val="004F1350"/>
    <w:rsid w:val="00512706"/>
    <w:rsid w:val="005169B4"/>
    <w:rsid w:val="00520CCE"/>
    <w:rsid w:val="00523DB9"/>
    <w:rsid w:val="00535CE7"/>
    <w:rsid w:val="0055725A"/>
    <w:rsid w:val="00561BE4"/>
    <w:rsid w:val="00567C37"/>
    <w:rsid w:val="00577126"/>
    <w:rsid w:val="00583B97"/>
    <w:rsid w:val="005855D3"/>
    <w:rsid w:val="005956F6"/>
    <w:rsid w:val="005A00F9"/>
    <w:rsid w:val="005A25F3"/>
    <w:rsid w:val="005B03D3"/>
    <w:rsid w:val="005E35DA"/>
    <w:rsid w:val="005E43EB"/>
    <w:rsid w:val="005E6BC9"/>
    <w:rsid w:val="00605454"/>
    <w:rsid w:val="00606FF8"/>
    <w:rsid w:val="00612EDF"/>
    <w:rsid w:val="00636F6E"/>
    <w:rsid w:val="00637112"/>
    <w:rsid w:val="00654AB3"/>
    <w:rsid w:val="00662B48"/>
    <w:rsid w:val="00677492"/>
    <w:rsid w:val="0068720D"/>
    <w:rsid w:val="006A02FC"/>
    <w:rsid w:val="006A16C0"/>
    <w:rsid w:val="006A5831"/>
    <w:rsid w:val="006A7104"/>
    <w:rsid w:val="006A7CF5"/>
    <w:rsid w:val="006E0455"/>
    <w:rsid w:val="006E1D52"/>
    <w:rsid w:val="006E5062"/>
    <w:rsid w:val="006E631D"/>
    <w:rsid w:val="00701B9D"/>
    <w:rsid w:val="00704DD9"/>
    <w:rsid w:val="0073401A"/>
    <w:rsid w:val="00743FEB"/>
    <w:rsid w:val="00750E22"/>
    <w:rsid w:val="00752368"/>
    <w:rsid w:val="00772216"/>
    <w:rsid w:val="007765D0"/>
    <w:rsid w:val="0078054F"/>
    <w:rsid w:val="0078396B"/>
    <w:rsid w:val="00784606"/>
    <w:rsid w:val="007A234D"/>
    <w:rsid w:val="007A7AF1"/>
    <w:rsid w:val="007B1C46"/>
    <w:rsid w:val="007C2FEC"/>
    <w:rsid w:val="007C4639"/>
    <w:rsid w:val="007D3715"/>
    <w:rsid w:val="007E0960"/>
    <w:rsid w:val="007E6230"/>
    <w:rsid w:val="00806736"/>
    <w:rsid w:val="00816311"/>
    <w:rsid w:val="008312A6"/>
    <w:rsid w:val="008455A8"/>
    <w:rsid w:val="00846D31"/>
    <w:rsid w:val="008516F3"/>
    <w:rsid w:val="0085726D"/>
    <w:rsid w:val="008A1537"/>
    <w:rsid w:val="008B7D8B"/>
    <w:rsid w:val="008D5F5F"/>
    <w:rsid w:val="008F1A17"/>
    <w:rsid w:val="00904ADD"/>
    <w:rsid w:val="0090642C"/>
    <w:rsid w:val="00910F83"/>
    <w:rsid w:val="009160D6"/>
    <w:rsid w:val="009213AF"/>
    <w:rsid w:val="00933AE8"/>
    <w:rsid w:val="00953D32"/>
    <w:rsid w:val="009543A3"/>
    <w:rsid w:val="009602DB"/>
    <w:rsid w:val="00964574"/>
    <w:rsid w:val="009722DC"/>
    <w:rsid w:val="0097237E"/>
    <w:rsid w:val="009826FE"/>
    <w:rsid w:val="00991FBE"/>
    <w:rsid w:val="0099405B"/>
    <w:rsid w:val="009A0D0E"/>
    <w:rsid w:val="009A668A"/>
    <w:rsid w:val="009A784B"/>
    <w:rsid w:val="009B4217"/>
    <w:rsid w:val="009C1B52"/>
    <w:rsid w:val="009C6EF1"/>
    <w:rsid w:val="009D7F16"/>
    <w:rsid w:val="009E2EBD"/>
    <w:rsid w:val="009E4B26"/>
    <w:rsid w:val="009F3168"/>
    <w:rsid w:val="009F64F3"/>
    <w:rsid w:val="00A00FDA"/>
    <w:rsid w:val="00A1251E"/>
    <w:rsid w:val="00A206E4"/>
    <w:rsid w:val="00A251E9"/>
    <w:rsid w:val="00A26D0D"/>
    <w:rsid w:val="00A3596D"/>
    <w:rsid w:val="00A47FC4"/>
    <w:rsid w:val="00A66DE2"/>
    <w:rsid w:val="00A71813"/>
    <w:rsid w:val="00A92B40"/>
    <w:rsid w:val="00A969E7"/>
    <w:rsid w:val="00AA6320"/>
    <w:rsid w:val="00AA65B8"/>
    <w:rsid w:val="00AB384B"/>
    <w:rsid w:val="00AB537C"/>
    <w:rsid w:val="00AB7727"/>
    <w:rsid w:val="00AC0DD8"/>
    <w:rsid w:val="00AD080D"/>
    <w:rsid w:val="00AE49C1"/>
    <w:rsid w:val="00AE5A72"/>
    <w:rsid w:val="00AF044A"/>
    <w:rsid w:val="00AF4FCF"/>
    <w:rsid w:val="00AF7DB4"/>
    <w:rsid w:val="00B13B49"/>
    <w:rsid w:val="00B14FAB"/>
    <w:rsid w:val="00B15BA6"/>
    <w:rsid w:val="00B37F9A"/>
    <w:rsid w:val="00B43A1D"/>
    <w:rsid w:val="00B5389D"/>
    <w:rsid w:val="00B57346"/>
    <w:rsid w:val="00B811AE"/>
    <w:rsid w:val="00B83633"/>
    <w:rsid w:val="00B83919"/>
    <w:rsid w:val="00B85C0A"/>
    <w:rsid w:val="00B86D7C"/>
    <w:rsid w:val="00BA679B"/>
    <w:rsid w:val="00BC07CD"/>
    <w:rsid w:val="00BC232D"/>
    <w:rsid w:val="00BC75E9"/>
    <w:rsid w:val="00BC7A16"/>
    <w:rsid w:val="00BD4E65"/>
    <w:rsid w:val="00C02A03"/>
    <w:rsid w:val="00C07723"/>
    <w:rsid w:val="00C10ED9"/>
    <w:rsid w:val="00C153C6"/>
    <w:rsid w:val="00C16F93"/>
    <w:rsid w:val="00C30415"/>
    <w:rsid w:val="00C324E3"/>
    <w:rsid w:val="00C3599A"/>
    <w:rsid w:val="00C36C25"/>
    <w:rsid w:val="00C37AE5"/>
    <w:rsid w:val="00C41843"/>
    <w:rsid w:val="00C46438"/>
    <w:rsid w:val="00C63629"/>
    <w:rsid w:val="00C64AD9"/>
    <w:rsid w:val="00C75B9C"/>
    <w:rsid w:val="00C75CF9"/>
    <w:rsid w:val="00C85C4E"/>
    <w:rsid w:val="00CC0F3E"/>
    <w:rsid w:val="00CE4C5B"/>
    <w:rsid w:val="00CF53E7"/>
    <w:rsid w:val="00D05445"/>
    <w:rsid w:val="00D06A32"/>
    <w:rsid w:val="00D1064E"/>
    <w:rsid w:val="00D13939"/>
    <w:rsid w:val="00D17CF4"/>
    <w:rsid w:val="00D17FD8"/>
    <w:rsid w:val="00D2299F"/>
    <w:rsid w:val="00D35C70"/>
    <w:rsid w:val="00D400DE"/>
    <w:rsid w:val="00D46BA3"/>
    <w:rsid w:val="00D5183A"/>
    <w:rsid w:val="00D52A2C"/>
    <w:rsid w:val="00D576C2"/>
    <w:rsid w:val="00D63EB4"/>
    <w:rsid w:val="00D6541E"/>
    <w:rsid w:val="00D65C64"/>
    <w:rsid w:val="00D91594"/>
    <w:rsid w:val="00D95CC5"/>
    <w:rsid w:val="00DA7786"/>
    <w:rsid w:val="00DB26C5"/>
    <w:rsid w:val="00DB3904"/>
    <w:rsid w:val="00DC3AC3"/>
    <w:rsid w:val="00DD77BB"/>
    <w:rsid w:val="00DE04CB"/>
    <w:rsid w:val="00DE4577"/>
    <w:rsid w:val="00DF32CE"/>
    <w:rsid w:val="00E06934"/>
    <w:rsid w:val="00E12432"/>
    <w:rsid w:val="00E22251"/>
    <w:rsid w:val="00E232C9"/>
    <w:rsid w:val="00E232F5"/>
    <w:rsid w:val="00E32B13"/>
    <w:rsid w:val="00E336D4"/>
    <w:rsid w:val="00E51A9A"/>
    <w:rsid w:val="00E56052"/>
    <w:rsid w:val="00E7036D"/>
    <w:rsid w:val="00E81C34"/>
    <w:rsid w:val="00E919DF"/>
    <w:rsid w:val="00E92FEC"/>
    <w:rsid w:val="00EB53D9"/>
    <w:rsid w:val="00EC3112"/>
    <w:rsid w:val="00EE75C1"/>
    <w:rsid w:val="00F01B15"/>
    <w:rsid w:val="00F128F7"/>
    <w:rsid w:val="00F25A54"/>
    <w:rsid w:val="00F37757"/>
    <w:rsid w:val="00F50916"/>
    <w:rsid w:val="00F60BFD"/>
    <w:rsid w:val="00F73EB0"/>
    <w:rsid w:val="00F75BF2"/>
    <w:rsid w:val="00F83D32"/>
    <w:rsid w:val="00F9072C"/>
    <w:rsid w:val="00F91C27"/>
    <w:rsid w:val="00F9470F"/>
    <w:rsid w:val="00FA1B1E"/>
    <w:rsid w:val="00FA619B"/>
    <w:rsid w:val="00FB2309"/>
    <w:rsid w:val="00FC20EC"/>
    <w:rsid w:val="00FD0807"/>
    <w:rsid w:val="00FD602E"/>
    <w:rsid w:val="00FE15FE"/>
    <w:rsid w:val="00FE550E"/>
    <w:rsid w:val="00FF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0A38"/>
  <w15:chartTrackingRefBased/>
  <w15:docId w15:val="{DB3B8CC3-EFC9-498A-93F3-F1D0FE2F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7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72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2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72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726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5726D"/>
    <w:rPr>
      <w:color w:val="0563C1" w:themeColor="hyperlink"/>
      <w:u w:val="single"/>
    </w:rPr>
  </w:style>
  <w:style w:type="paragraph" w:styleId="ListParagraph">
    <w:name w:val="List Paragraph"/>
    <w:basedOn w:val="Normal"/>
    <w:uiPriority w:val="34"/>
    <w:qFormat/>
    <w:rsid w:val="00192818"/>
    <w:pPr>
      <w:ind w:left="720"/>
      <w:contextualSpacing/>
    </w:pPr>
  </w:style>
  <w:style w:type="paragraph" w:styleId="FootnoteText">
    <w:name w:val="footnote text"/>
    <w:basedOn w:val="Normal"/>
    <w:link w:val="FootnoteTextChar"/>
    <w:uiPriority w:val="99"/>
    <w:semiHidden/>
    <w:unhideWhenUsed/>
    <w:rsid w:val="004C3B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BBE"/>
    <w:rPr>
      <w:sz w:val="20"/>
      <w:szCs w:val="20"/>
    </w:rPr>
  </w:style>
  <w:style w:type="character" w:styleId="FootnoteReference">
    <w:name w:val="footnote reference"/>
    <w:basedOn w:val="DefaultParagraphFont"/>
    <w:uiPriority w:val="99"/>
    <w:semiHidden/>
    <w:unhideWhenUsed/>
    <w:rsid w:val="004C3BBE"/>
    <w:rPr>
      <w:vertAlign w:val="superscript"/>
    </w:rPr>
  </w:style>
  <w:style w:type="paragraph" w:styleId="Header">
    <w:name w:val="header"/>
    <w:basedOn w:val="Normal"/>
    <w:link w:val="HeaderChar"/>
    <w:uiPriority w:val="99"/>
    <w:unhideWhenUsed/>
    <w:rsid w:val="00B14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FAB"/>
  </w:style>
  <w:style w:type="paragraph" w:styleId="Footer">
    <w:name w:val="footer"/>
    <w:basedOn w:val="Normal"/>
    <w:link w:val="FooterChar"/>
    <w:uiPriority w:val="99"/>
    <w:unhideWhenUsed/>
    <w:rsid w:val="00B14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FAB"/>
  </w:style>
  <w:style w:type="paragraph" w:styleId="NoSpacing">
    <w:name w:val="No Spacing"/>
    <w:uiPriority w:val="1"/>
    <w:qFormat/>
    <w:rsid w:val="001B793C"/>
    <w:pPr>
      <w:spacing w:after="0" w:line="240" w:lineRule="auto"/>
    </w:pPr>
  </w:style>
  <w:style w:type="character" w:styleId="FollowedHyperlink">
    <w:name w:val="FollowedHyperlink"/>
    <w:basedOn w:val="DefaultParagraphFont"/>
    <w:uiPriority w:val="99"/>
    <w:semiHidden/>
    <w:unhideWhenUsed/>
    <w:rsid w:val="009E2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57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l2111@b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F77F4-0C8C-4579-BAC1-08808802D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7</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lynxdll@gmail.com</dc:creator>
  <cp:keywords/>
  <dc:description/>
  <cp:lastModifiedBy>lynxdll@gmail.com</cp:lastModifiedBy>
  <cp:revision>346</cp:revision>
  <dcterms:created xsi:type="dcterms:W3CDTF">2019-04-26T21:28:00Z</dcterms:created>
  <dcterms:modified xsi:type="dcterms:W3CDTF">2019-04-27T18:36:00Z</dcterms:modified>
</cp:coreProperties>
</file>