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bhavik.dalal@tamu.edu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nsolas" w:hAnsi="Consolas"/>
          <w:color w:val="C0392B"/>
          <w:sz w:val="18"/>
        </w:rPr>
        <w:t>team1_dw_area</w:t>
      </w:r>
      <w:r>
        <w:t xml:space="preserve"> data mart on SQL Server 2016. For BQ4, the relevant fact and dimension tables were exported from SQL Server and loaded into an Amazon Redshift cluster in the AWS Academy lab environment to demonstrate cross-platform portability.</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30 — INSERT HERE]</w:t>
            </w:r>
          </w:p>
        </w:tc>
      </w:tr>
      <w:tr>
        <w:trPr>
          <w:trHeight w:val="800" w:hRule="atLeast"/>
        </w:trPr>
        <w:tc>
          <w:tcPr>
            <w:tcW w:type="dxa" w:w="9360"/>
            <w:shd w:fill="FAFAFA" w:val="clear"/>
          </w:tcPr>
          <w:p>
            <w:pPr>
              <w:jc w:val="center"/>
            </w:pPr>
            <w:r/>
            <w:r>
              <w:rPr>
                <w:i/>
                <w:color w:val="666666"/>
                <w:sz w:val="18"/>
              </w:rPr>
              <w:t>SSRS Report Designer view: open `BQ2_Weekly_SDR_Sales.rdl` in Visual Studio. Capture the Design tab showing the line chart and data table layout with Solution Explorer visible on the right.</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31 — INSERT HERE]</w:t>
            </w:r>
          </w:p>
        </w:tc>
      </w:tr>
      <w:tr>
        <w:trPr>
          <w:trHeight w:val="800" w:hRule="atLeast"/>
        </w:trPr>
        <w:tc>
          <w:tcPr>
            <w:tcW w:type="dxa" w:w="9360"/>
            <w:shd w:fill="FAFAFA" w:val="clear"/>
          </w:tcPr>
          <w:p>
            <w:pPr>
              <w:jc w:val="center"/>
            </w:pPr>
            <w:r/>
            <w:r>
              <w:rPr>
                <w:i/>
                <w:color w:val="666666"/>
                <w:sz w:val="18"/>
              </w:rPr>
              <w:t>SSRS Report Preview tab: click Preview after building the report. Capture the rendered line chart showing weekly Soft Drink unit sales from 1989–1997 with the data table rows below it.</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32 — INSERT HERE]</w:t>
            </w:r>
          </w:p>
        </w:tc>
      </w:tr>
      <w:tr>
        <w:trPr>
          <w:trHeight w:val="800" w:hRule="atLeast"/>
        </w:trPr>
        <w:tc>
          <w:tcPr>
            <w:tcW w:type="dxa" w:w="9360"/>
            <w:shd w:fill="FAFAFA" w:val="clear"/>
          </w:tcPr>
          <w:p>
            <w:pPr>
              <w:jc w:val="center"/>
            </w:pPr>
            <w:r/>
            <w:r>
              <w:rPr>
                <w:i/>
                <w:color w:val="666666"/>
                <w:sz w:val="18"/>
              </w:rPr>
              <w:t>SSRS Report Designer view: open `BQ9_Top10_Crackers.rdl`. Capture the Design tab showing the `@WeekID` parameter dropdown and the table layout with Sales Rank, UPC, Description, Units Sold, Prev Week, WoW Change columns.</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33 — INSERT HERE]</w:t>
            </w:r>
          </w:p>
        </w:tc>
      </w:tr>
      <w:tr>
        <w:trPr>
          <w:trHeight w:val="800" w:hRule="atLeast"/>
        </w:trPr>
        <w:tc>
          <w:tcPr>
            <w:tcW w:type="dxa" w:w="9360"/>
            <w:shd w:fill="FAFAFA" w:val="clear"/>
          </w:tcPr>
          <w:p>
            <w:pPr>
              <w:jc w:val="center"/>
            </w:pPr>
            <w:r/>
            <w:r>
              <w:rPr>
                <w:i/>
                <w:color w:val="666666"/>
                <w:sz w:val="18"/>
              </w:rPr>
              <w:t>SSRS Report Preview tab: select a specific week (e.g., Week 100) from the `@WeekID` dropdown and click View Report. Capture the rendered table showing 10 rows of Cracker products with green/red WoW Change highlighting.</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34 — INSERT HERE]</w:t>
            </w:r>
          </w:p>
        </w:tc>
      </w:tr>
      <w:tr>
        <w:trPr>
          <w:trHeight w:val="800" w:hRule="atLeast"/>
        </w:trPr>
        <w:tc>
          <w:tcPr>
            <w:tcW w:type="dxa" w:w="9360"/>
            <w:shd w:fill="FAFAFA" w:val="clear"/>
          </w:tcPr>
          <w:p>
            <w:pPr>
              <w:jc w:val="center"/>
            </w:pPr>
            <w:r/>
            <w:r>
              <w:rPr>
                <w:i/>
                <w:color w:val="666666"/>
                <w:sz w:val="18"/>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35 — INSERT HERE]</w:t>
            </w:r>
          </w:p>
        </w:tc>
      </w:tr>
      <w:tr>
        <w:trPr>
          <w:trHeight w:val="800" w:hRule="atLeast"/>
        </w:trPr>
        <w:tc>
          <w:tcPr>
            <w:tcW w:type="dxa" w:w="9360"/>
            <w:shd w:fill="FAFAFA" w:val="clear"/>
          </w:tcPr>
          <w:p>
            <w:pPr>
              <w:jc w:val="center"/>
            </w:pPr>
            <w:r/>
            <w:r>
              <w:rPr>
                <w:i/>
                <w:color w:val="666666"/>
                <w:sz w:val="18"/>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36 — INSERT HERE]</w:t>
            </w:r>
          </w:p>
        </w:tc>
      </w:tr>
      <w:tr>
        <w:trPr>
          <w:trHeight w:val="800" w:hRule="atLeast"/>
        </w:trPr>
        <w:tc>
          <w:tcPr>
            <w:tcW w:type="dxa" w:w="9360"/>
            <w:shd w:fill="FAFAFA" w:val="clear"/>
          </w:tcPr>
          <w:p>
            <w:pPr>
              <w:jc w:val="center"/>
            </w:pPr>
            <w:r/>
            <w:r>
              <w:rPr>
                <w:i/>
                <w:color w:val="666666"/>
                <w:sz w:val="18"/>
              </w:rPr>
              <w:t>SSAS Cube Browser drill-down: with the same filter active, also drag `DimTime.year` to Columns. Capture the full pivot table showing deal_type × year cross-tabulation of average units sold (years 1989–1997 across columns).</w:t>
            </w:r>
          </w:p>
        </w:tc>
      </w:tr>
    </w:tbl>
    <w:p/>
    <w:p>
      <w:pPr>
        <w:pStyle w:val="Heading3"/>
      </w:pPr>
      <w:r>
        <w:t>5.2.3 Reports from Redshift Query v.2</w:t>
      </w:r>
    </w:p>
    <w:p>
      <w:r/>
      <w:r>
        <w:rPr>
          <w:b/>
        </w:rPr>
        <w:t>BQ4 — Promotion Lift by Deal Type in Canned Soup (Redshift Query v.2)</w:t>
      </w:r>
      <w:r/>
    </w:p>
    <w:p>
      <w:r>
        <w:t xml:space="preserve">The BQ4 analysis was executed in Redshift Query v.2. To prepare for this, the FactWeeklySales, DimPromotion, and DimCategory tables were exported from </w:t>
      </w:r>
      <w:r>
        <w:rPr>
          <w:rFonts w:ascii="Consolas" w:hAnsi="Consolas"/>
          <w:color w:val="C0392B"/>
          <w:sz w:val="18"/>
        </w:rPr>
        <w:t>team1_dw_area</w:t>
      </w:r>
      <w: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37 — INSERT HERE]</w:t>
            </w:r>
          </w:p>
        </w:tc>
      </w:tr>
      <w:tr>
        <w:trPr>
          <w:trHeight w:val="800" w:hRule="atLeast"/>
        </w:trPr>
        <w:tc>
          <w:tcPr>
            <w:tcW w:type="dxa" w:w="9360"/>
            <w:shd w:fill="FAFAFA" w:val="clear"/>
          </w:tcPr>
          <w:p>
            <w:pPr>
              <w:jc w:val="center"/>
            </w:pPr>
            <w:r/>
            <w:r>
              <w:rPr>
                <w:i/>
                <w:color w:val="666666"/>
                <w:sz w:val="18"/>
              </w:rPr>
              <w:t>Amazon Redshift Query Editor v.2: paste the full BQ4 SQL query (shown in the code block above) into the editor. Capture the query editor with the full SQL visible and the Run button highlighted, before executing.</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38 — INSERT HERE]</w:t>
            </w:r>
          </w:p>
        </w:tc>
      </w:tr>
      <w:tr>
        <w:trPr>
          <w:trHeight w:val="800" w:hRule="atLeast"/>
        </w:trPr>
        <w:tc>
          <w:tcPr>
            <w:tcW w:type="dxa" w:w="9360"/>
            <w:shd w:fill="FAFAFA" w:val="clear"/>
          </w:tcPr>
          <w:p>
            <w:pPr>
              <w:jc w:val="center"/>
            </w:pPr>
            <w:r/>
            <w:r>
              <w:rPr>
                <w:i/>
                <w:color w:val="666666"/>
                <w:sz w:val="18"/>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39 — INSERT HERE]</w:t>
            </w:r>
          </w:p>
        </w:tc>
      </w:tr>
      <w:tr>
        <w:trPr>
          <w:trHeight w:val="800" w:hRule="atLeast"/>
        </w:trPr>
        <w:tc>
          <w:tcPr>
            <w:tcW w:type="dxa" w:w="9360"/>
            <w:shd w:fill="FAFAFA" w:val="clear"/>
          </w:tcPr>
          <w:p>
            <w:pPr>
              <w:jc w:val="center"/>
            </w:pPr>
            <w:r/>
            <w:r>
              <w:rPr>
                <w:i/>
                <w:color w:val="666666"/>
                <w:sz w:val="18"/>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40 — INSERT HERE]</w:t>
            </w:r>
          </w:p>
        </w:tc>
      </w:tr>
      <w:tr>
        <w:trPr>
          <w:trHeight w:val="800" w:hRule="atLeast"/>
        </w:trPr>
        <w:tc>
          <w:tcPr>
            <w:tcW w:type="dxa" w:w="9360"/>
            <w:shd w:fill="FAFAFA" w:val="clear"/>
          </w:tcPr>
          <w:p>
            <w:pPr>
              <w:jc w:val="center"/>
            </w:pPr>
            <w:r/>
            <w:r>
              <w:rPr>
                <w:i/>
                <w:color w:val="666666"/>
                <w:sz w:val="18"/>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tbl>
      <w:tblPr>
        <w:tblW w:type="auto" w:w="0"/>
        <w:jc w:val="center"/>
        <w:tblLook w:firstColumn="1" w:firstRow="1" w:lastColumn="0" w:lastRow="0" w:noHBand="0" w:noVBand="1" w:val="04A0"/>
        <w:tblBorders>
          <w:top w:val="single" w:sz="6" w:space="0" w:color="BBBBBB"/>
          <w:left w:val="single" w:sz="6" w:space="0" w:color="BBBBBB"/>
          <w:bottom w:val="single" w:sz="6" w:space="0" w:color="BBBBBB"/>
          <w:right w:val="single" w:sz="6" w:space="0" w:color="BBBBBB"/>
          <w:insideH w:val="single" w:sz="6" w:space="0" w:color="BBBBBB"/>
          <w:insideV w:val="single" w:sz="6" w:space="0" w:color="BBBBBB"/>
        </w:tblBorders>
      </w:tblPr>
      <w:tblGrid>
        <w:gridCol w:w="9360"/>
      </w:tblGrid>
      <w:tr>
        <w:trPr>
          <w:trHeight w:val="800" w:hRule="atLeast"/>
        </w:trPr>
        <w:tc>
          <w:tcPr>
            <w:tcW w:type="dxa" w:w="9360"/>
            <w:shd w:fill="F2F2F2" w:val="clear"/>
          </w:tcPr>
          <w:p>
            <w:pPr>
              <w:jc w:val="center"/>
            </w:pPr>
            <w:r/>
            <w:r>
              <w:rPr>
                <w:b/>
                <w:color w:val="444444"/>
                <w:sz w:val="22"/>
              </w:rPr>
              <w:t>📸 [Screenshot 41 — INSERT HERE]</w:t>
            </w:r>
          </w:p>
        </w:tc>
      </w:tr>
      <w:tr>
        <w:trPr>
          <w:trHeight w:val="800" w:hRule="atLeast"/>
        </w:trPr>
        <w:tc>
          <w:tcPr>
            <w:tcW w:type="dxa" w:w="9360"/>
            <w:shd w:fill="FAFAFA" w:val="clear"/>
          </w:tcPr>
          <w:p>
            <w:pPr>
              <w:jc w:val="center"/>
            </w:pPr>
            <w:r/>
            <w:r>
              <w:rPr>
                <w:i/>
                <w:color w:val="666666"/>
                <w:sz w:val="18"/>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Complete Screenshot Index</w:t>
      </w:r>
    </w:p>
    <w:p>
      <w:r/>
      <w:r>
        <w:rPr>
          <w:b/>
        </w:rPr>
        <w:t>Section 4 — ETL Implementation Evidence (Screenshots 1–29)</w:t>
      </w:r>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p>
      <w:r/>
      <w:r>
        <w:rPr>
          <w:b/>
        </w:rPr>
        <w:t>Section 5 — BI Reporting Evidence (Screenshots 30–41)</w:t>
      </w: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w:t>
            </w:r>
          </w:p>
        </w:tc>
        <w:tc>
          <w:tcPr>
            <w:tcW w:type="dxa" w:w="2340"/>
            <w:shd w:fill="D9E2F3" w:val="clear"/>
          </w:tcPr>
          <w:p>
            <w:r/>
            <w:r>
              <w:rPr>
                <w:b/>
                <w:sz w:val="18"/>
              </w:rPr>
              <w:t>Tool</w:t>
            </w:r>
          </w:p>
        </w:tc>
        <w:tc>
          <w:tcPr>
            <w:tcW w:type="dxa" w:w="2340"/>
            <w:shd w:fill="D9E2F3" w:val="clear"/>
          </w:tcPr>
          <w:p>
            <w:r/>
            <w:r>
              <w:rPr>
                <w:b/>
                <w:sz w:val="18"/>
              </w:rPr>
              <w:t>BQ</w:t>
            </w:r>
          </w:p>
        </w:tc>
        <w:tc>
          <w:tcPr>
            <w:tcW w:type="dxa" w:w="2340"/>
            <w:shd w:fill="D9E2F3" w:val="clear"/>
          </w:tcPr>
          <w:p>
            <w:r/>
            <w:r>
              <w:rPr>
                <w:b/>
                <w:sz w:val="18"/>
              </w:rPr>
              <w:t>Description</w:t>
            </w:r>
          </w:p>
        </w:tc>
      </w:tr>
      <w:tr>
        <w:tc>
          <w:tcPr>
            <w:tcW w:type="dxa" w:w="2340"/>
          </w:tcPr>
          <w:p>
            <w:r/>
            <w:r>
              <w:rPr>
                <w:sz w:val="18"/>
              </w:rPr>
              <w:t>30</w:t>
            </w:r>
          </w:p>
        </w:tc>
        <w:tc>
          <w:tcPr>
            <w:tcW w:type="dxa" w:w="2340"/>
          </w:tcPr>
          <w:p>
            <w:r/>
            <w:r>
              <w:rPr>
                <w:sz w:val="18"/>
              </w:rPr>
              <w:t>SSRS</w:t>
            </w:r>
          </w:p>
        </w:tc>
        <w:tc>
          <w:tcPr>
            <w:tcW w:type="dxa" w:w="2340"/>
          </w:tcPr>
          <w:p>
            <w:r/>
            <w:r>
              <w:rPr>
                <w:sz w:val="18"/>
              </w:rPr>
              <w:t>BQ2</w:t>
            </w:r>
          </w:p>
        </w:tc>
        <w:tc>
          <w:tcPr>
            <w:tcW w:type="dxa" w:w="2340"/>
          </w:tcPr>
          <w:p>
            <w:r/>
            <w:r>
              <w:rPr>
                <w:sz w:val="18"/>
              </w:rPr>
              <w:t>SSRS Report Designer — BQ2 Weekly SDR Sales trend report layout</w:t>
            </w:r>
          </w:p>
        </w:tc>
      </w:tr>
      <w:tr>
        <w:tc>
          <w:tcPr>
            <w:tcW w:type="dxa" w:w="2340"/>
          </w:tcPr>
          <w:p>
            <w:r/>
            <w:r>
              <w:rPr>
                <w:sz w:val="18"/>
              </w:rPr>
              <w:t>31</w:t>
            </w:r>
          </w:p>
        </w:tc>
        <w:tc>
          <w:tcPr>
            <w:tcW w:type="dxa" w:w="2340"/>
          </w:tcPr>
          <w:p>
            <w:r/>
            <w:r>
              <w:rPr>
                <w:sz w:val="18"/>
              </w:rPr>
              <w:t>SSRS</w:t>
            </w:r>
          </w:p>
        </w:tc>
        <w:tc>
          <w:tcPr>
            <w:tcW w:type="dxa" w:w="2340"/>
          </w:tcPr>
          <w:p>
            <w:r/>
            <w:r>
              <w:rPr>
                <w:sz w:val="18"/>
              </w:rPr>
              <w:t>BQ2</w:t>
            </w:r>
          </w:p>
        </w:tc>
        <w:tc>
          <w:tcPr>
            <w:tcW w:type="dxa" w:w="2340"/>
          </w:tcPr>
          <w:p>
            <w:r/>
            <w:r>
              <w:rPr>
                <w:sz w:val="18"/>
              </w:rPr>
              <w:t>SSRS Report Preview — BQ2 line chart showing weekly Soft Drink unit sales</w:t>
            </w:r>
          </w:p>
        </w:tc>
      </w:tr>
      <w:tr>
        <w:tc>
          <w:tcPr>
            <w:tcW w:type="dxa" w:w="2340"/>
          </w:tcPr>
          <w:p>
            <w:r/>
            <w:r>
              <w:rPr>
                <w:sz w:val="18"/>
              </w:rPr>
              <w:t>32</w:t>
            </w:r>
          </w:p>
        </w:tc>
        <w:tc>
          <w:tcPr>
            <w:tcW w:type="dxa" w:w="2340"/>
          </w:tcPr>
          <w:p>
            <w:r/>
            <w:r>
              <w:rPr>
                <w:sz w:val="18"/>
              </w:rPr>
              <w:t>SSRS</w:t>
            </w:r>
          </w:p>
        </w:tc>
        <w:tc>
          <w:tcPr>
            <w:tcW w:type="dxa" w:w="2340"/>
          </w:tcPr>
          <w:p>
            <w:r/>
            <w:r>
              <w:rPr>
                <w:sz w:val="18"/>
              </w:rPr>
              <w:t>BQ9</w:t>
            </w:r>
          </w:p>
        </w:tc>
        <w:tc>
          <w:tcPr>
            <w:tcW w:type="dxa" w:w="2340"/>
          </w:tcPr>
          <w:p>
            <w:r/>
            <w:r>
              <w:rPr>
                <w:sz w:val="18"/>
              </w:rPr>
              <w:t>SSRS Report Designer — BQ9 parameterized Cracker ranking report layout</w:t>
            </w:r>
          </w:p>
        </w:tc>
      </w:tr>
      <w:tr>
        <w:tc>
          <w:tcPr>
            <w:tcW w:type="dxa" w:w="2340"/>
          </w:tcPr>
          <w:p>
            <w:r/>
            <w:r>
              <w:rPr>
                <w:sz w:val="18"/>
              </w:rPr>
              <w:t>33</w:t>
            </w:r>
          </w:p>
        </w:tc>
        <w:tc>
          <w:tcPr>
            <w:tcW w:type="dxa" w:w="2340"/>
          </w:tcPr>
          <w:p>
            <w:r/>
            <w:r>
              <w:rPr>
                <w:sz w:val="18"/>
              </w:rPr>
              <w:t>SSRS</w:t>
            </w:r>
          </w:p>
        </w:tc>
        <w:tc>
          <w:tcPr>
            <w:tcW w:type="dxa" w:w="2340"/>
          </w:tcPr>
          <w:p>
            <w:r/>
            <w:r>
              <w:rPr>
                <w:sz w:val="18"/>
              </w:rPr>
              <w:t>BQ9</w:t>
            </w:r>
          </w:p>
        </w:tc>
        <w:tc>
          <w:tcPr>
            <w:tcW w:type="dxa" w:w="2340"/>
          </w:tcPr>
          <w:p>
            <w:r/>
            <w:r>
              <w:rPr>
                <w:sz w:val="18"/>
              </w:rPr>
              <w:t>SSRS Report Preview — BQ9 table showing top 10 products for selected week</w:t>
            </w:r>
          </w:p>
        </w:tc>
      </w:tr>
      <w:tr>
        <w:tc>
          <w:tcPr>
            <w:tcW w:type="dxa" w:w="2340"/>
          </w:tcPr>
          <w:p>
            <w:r/>
            <w:r>
              <w:rPr>
                <w:sz w:val="18"/>
              </w:rPr>
              <w:t>34</w:t>
            </w:r>
          </w:p>
        </w:tc>
        <w:tc>
          <w:tcPr>
            <w:tcW w:type="dxa" w:w="2340"/>
          </w:tcPr>
          <w:p>
            <w:r/>
            <w:r>
              <w:rPr>
                <w:sz w:val="18"/>
              </w:rPr>
              <w:t>SSAS</w:t>
            </w:r>
          </w:p>
        </w:tc>
        <w:tc>
          <w:tcPr>
            <w:tcW w:type="dxa" w:w="2340"/>
          </w:tcPr>
          <w:p>
            <w:r/>
            <w:r>
              <w:rPr>
                <w:sz w:val="18"/>
              </w:rPr>
              <w:t>BQ3</w:t>
            </w:r>
          </w:p>
        </w:tc>
        <w:tc>
          <w:tcPr>
            <w:tcW w:type="dxa" w:w="2340"/>
          </w:tcPr>
          <w:p>
            <w:r/>
            <w:r>
              <w:rPr>
                <w:sz w:val="18"/>
              </w:rPr>
              <w:t>Visual Studio — SSAS Cube structure in Solution Explorer</w:t>
            </w:r>
          </w:p>
        </w:tc>
      </w:tr>
      <w:tr>
        <w:tc>
          <w:tcPr>
            <w:tcW w:type="dxa" w:w="2340"/>
          </w:tcPr>
          <w:p>
            <w:r/>
            <w:r>
              <w:rPr>
                <w:sz w:val="18"/>
              </w:rPr>
              <w:t>35</w:t>
            </w:r>
          </w:p>
        </w:tc>
        <w:tc>
          <w:tcPr>
            <w:tcW w:type="dxa" w:w="2340"/>
          </w:tcPr>
          <w:p>
            <w:r/>
            <w:r>
              <w:rPr>
                <w:sz w:val="18"/>
              </w:rPr>
              <w:t>SSAS</w:t>
            </w:r>
          </w:p>
        </w:tc>
        <w:tc>
          <w:tcPr>
            <w:tcW w:type="dxa" w:w="2340"/>
          </w:tcPr>
          <w:p>
            <w:r/>
            <w:r>
              <w:rPr>
                <w:sz w:val="18"/>
              </w:rPr>
              <w:t>BQ3</w:t>
            </w:r>
          </w:p>
        </w:tc>
        <w:tc>
          <w:tcPr>
            <w:tcW w:type="dxa" w:w="2340"/>
          </w:tcPr>
          <w:p>
            <w:r/>
            <w:r>
              <w:rPr>
                <w:sz w:val="18"/>
              </w:rPr>
              <w:t>SSAS Cube Browser — BQ3 pivot: deal_type vs AVG(units_sold)</w:t>
            </w:r>
          </w:p>
        </w:tc>
      </w:tr>
      <w:tr>
        <w:tc>
          <w:tcPr>
            <w:tcW w:type="dxa" w:w="2340"/>
          </w:tcPr>
          <w:p>
            <w:r/>
            <w:r>
              <w:rPr>
                <w:sz w:val="18"/>
              </w:rPr>
              <w:t>36</w:t>
            </w:r>
          </w:p>
        </w:tc>
        <w:tc>
          <w:tcPr>
            <w:tcW w:type="dxa" w:w="2340"/>
          </w:tcPr>
          <w:p>
            <w:r/>
            <w:r>
              <w:rPr>
                <w:sz w:val="18"/>
              </w:rPr>
              <w:t>SSAS</w:t>
            </w:r>
          </w:p>
        </w:tc>
        <w:tc>
          <w:tcPr>
            <w:tcW w:type="dxa" w:w="2340"/>
          </w:tcPr>
          <w:p>
            <w:r/>
            <w:r>
              <w:rPr>
                <w:sz w:val="18"/>
              </w:rPr>
              <w:t>BQ3</w:t>
            </w:r>
          </w:p>
        </w:tc>
        <w:tc>
          <w:tcPr>
            <w:tcW w:type="dxa" w:w="2340"/>
          </w:tcPr>
          <w:p>
            <w:r/>
            <w:r>
              <w:rPr>
                <w:sz w:val="18"/>
              </w:rPr>
              <w:t>SSAS Cube Browser — drill-down by year and quarter</w:t>
            </w:r>
          </w:p>
        </w:tc>
      </w:tr>
      <w:tr>
        <w:tc>
          <w:tcPr>
            <w:tcW w:type="dxa" w:w="2340"/>
          </w:tcPr>
          <w:p>
            <w:r/>
            <w:r>
              <w:rPr>
                <w:sz w:val="18"/>
              </w:rPr>
              <w:t>37</w:t>
            </w:r>
          </w:p>
        </w:tc>
        <w:tc>
          <w:tcPr>
            <w:tcW w:type="dxa" w:w="2340"/>
          </w:tcPr>
          <w:p>
            <w:r/>
            <w:r>
              <w:rPr>
                <w:sz w:val="18"/>
              </w:rPr>
              <w:t>Redshift</w:t>
            </w:r>
          </w:p>
        </w:tc>
        <w:tc>
          <w:tcPr>
            <w:tcW w:type="dxa" w:w="2340"/>
          </w:tcPr>
          <w:p>
            <w:r/>
            <w:r>
              <w:rPr>
                <w:sz w:val="18"/>
              </w:rPr>
              <w:t>BQ4</w:t>
            </w:r>
          </w:p>
        </w:tc>
        <w:tc>
          <w:tcPr>
            <w:tcW w:type="dxa" w:w="2340"/>
          </w:tcPr>
          <w:p>
            <w:r/>
            <w:r>
              <w:rPr>
                <w:sz w:val="18"/>
              </w:rPr>
              <w:t>Redshift Query v.2 — query editor showing BQ4 promotion lift SQL</w:t>
            </w:r>
          </w:p>
        </w:tc>
      </w:tr>
      <w:tr>
        <w:tc>
          <w:tcPr>
            <w:tcW w:type="dxa" w:w="2340"/>
          </w:tcPr>
          <w:p>
            <w:r/>
            <w:r>
              <w:rPr>
                <w:sz w:val="18"/>
              </w:rPr>
              <w:t>38</w:t>
            </w:r>
          </w:p>
        </w:tc>
        <w:tc>
          <w:tcPr>
            <w:tcW w:type="dxa" w:w="2340"/>
          </w:tcPr>
          <w:p>
            <w:r/>
            <w:r>
              <w:rPr>
                <w:sz w:val="18"/>
              </w:rPr>
              <w:t>Redshift</w:t>
            </w:r>
          </w:p>
        </w:tc>
        <w:tc>
          <w:tcPr>
            <w:tcW w:type="dxa" w:w="2340"/>
          </w:tcPr>
          <w:p>
            <w:r/>
            <w:r>
              <w:rPr>
                <w:sz w:val="18"/>
              </w:rPr>
              <w:t>BQ4</w:t>
            </w:r>
          </w:p>
        </w:tc>
        <w:tc>
          <w:tcPr>
            <w:tcW w:type="dxa" w:w="2340"/>
          </w:tcPr>
          <w:p>
            <w:r/>
            <w:r>
              <w:rPr>
                <w:sz w:val="18"/>
              </w:rPr>
              <w:t>Redshift Query v.2 — BQ4 results: lift by deal type</w:t>
            </w:r>
          </w:p>
        </w:tc>
      </w:tr>
      <w:tr>
        <w:tc>
          <w:tcPr>
            <w:tcW w:type="dxa" w:w="2340"/>
          </w:tcPr>
          <w:p>
            <w:r/>
            <w:r>
              <w:rPr>
                <w:sz w:val="18"/>
              </w:rPr>
              <w:t>39</w:t>
            </w:r>
          </w:p>
        </w:tc>
        <w:tc>
          <w:tcPr>
            <w:tcW w:type="dxa" w:w="2340"/>
          </w:tcPr>
          <w:p>
            <w:r/>
            <w:r>
              <w:rPr>
                <w:sz w:val="18"/>
              </w:rPr>
              <w:t>Power BI</w:t>
            </w:r>
          </w:p>
        </w:tc>
        <w:tc>
          <w:tcPr>
            <w:tcW w:type="dxa" w:w="2340"/>
          </w:tcPr>
          <w:p>
            <w:r/>
            <w:r>
              <w:rPr>
                <w:sz w:val="18"/>
              </w:rPr>
              <w:t>BQ8</w:t>
            </w:r>
          </w:p>
        </w:tc>
        <w:tc>
          <w:tcPr>
            <w:tcW w:type="dxa" w:w="2340"/>
          </w:tcPr>
          <w:p>
            <w:r/>
            <w:r>
              <w:rPr>
                <w:sz w:val="18"/>
              </w:rPr>
              <w:t>Power BI — Data model view showing star schema connections</w:t>
            </w:r>
          </w:p>
        </w:tc>
      </w:tr>
      <w:tr>
        <w:tc>
          <w:tcPr>
            <w:tcW w:type="dxa" w:w="2340"/>
          </w:tcPr>
          <w:p>
            <w:r/>
            <w:r>
              <w:rPr>
                <w:sz w:val="18"/>
              </w:rPr>
              <w:t>40</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store quartile bar chart + demographic table</w:t>
            </w:r>
          </w:p>
        </w:tc>
      </w:tr>
      <w:tr>
        <w:tc>
          <w:tcPr>
            <w:tcW w:type="dxa" w:w="2340"/>
          </w:tcPr>
          <w:p>
            <w:r/>
            <w:r>
              <w:rPr>
                <w:sz w:val="18"/>
              </w:rPr>
              <w:t>41</w:t>
            </w:r>
          </w:p>
        </w:tc>
        <w:tc>
          <w:tcPr>
            <w:tcW w:type="dxa" w:w="2340"/>
          </w:tcPr>
          <w:p>
            <w:r/>
            <w:r>
              <w:rPr>
                <w:sz w:val="18"/>
              </w:rPr>
              <w:t>Power BI</w:t>
            </w:r>
          </w:p>
        </w:tc>
        <w:tc>
          <w:tcPr>
            <w:tcW w:type="dxa" w:w="2340"/>
          </w:tcPr>
          <w:p>
            <w:r/>
            <w:r>
              <w:rPr>
                <w:sz w:val="18"/>
              </w:rPr>
              <w:t>BQ8</w:t>
            </w:r>
          </w:p>
        </w:tc>
        <w:tc>
          <w:tcPr>
            <w:tcW w:type="dxa" w:w="2340"/>
          </w:tcPr>
          <w:p>
            <w:r/>
            <w:r>
              <w:rPr>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