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r>
        <w:fldChar w:fldCharType="begin"/>
      </w:r>
      <w:r>
        <w:instrText xml:space="preserve"> TOC \o "1-3" \h \z \u </w:instrText>
      </w:r>
      <w:r>
        <w:fldChar w:fldCharType="separate"/>
      </w:r>
      <w:r>
        <w:rPr>
          <w:rFonts w:ascii="Times New Roman" w:hAnsi="Times New Roman"/>
          <w:color w:val="808080"/>
          <w:sz w:val="24"/>
        </w:rPr>
        <w:t>Right-click here and select "Update Field" to generate the Table of Contents.</w:t>
      </w:r>
      <w:r>
        <w:fldChar w:fldCharType="end"/>
      </w:r>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for SSAS cube processing; relational star schema for SSRS, Redshift, and Power BI</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3.5).</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3.7–3.8), and the ETL plan is developed (Section 4).</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r>
        <w:rPr>
          <w:rFonts w:ascii="Times New Roman" w:hAnsi="Times New Roman"/>
        </w:rPr>
        <w:t xml:space="preserve">The final dimensional model is presented as a star schema centered on </w:t>
      </w:r>
      <w:r>
        <w:rPr>
          <w:rFonts w:ascii="Courier New" w:hAnsi="Courier New"/>
          <w:color w:val="000000"/>
          <w:sz w:val="24"/>
        </w:rPr>
        <w:t>FactWeeklySales</w:t>
      </w:r>
      <w:r>
        <w:rPr>
          <w:rFonts w:ascii="Times New Roman" w:hAnsi="Times New Roman"/>
        </w:rPr>
        <w:t>. This section intentionally uses a dimensional schema diagram, not a source-system relationship model, because the final report is concerned with the analytical data mart created for DFF decision support. The diagramming-tool output shows each table with attributes and data types, and relationship lines are left unlabeled so the model reads as a clean analytical star schema rather than a transactional source model.</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Star Schema Diagram</w:t>
      </w:r>
    </w:p>
    <w:p>
      <w:pPr>
        <w:spacing w:after="40"/>
      </w:pPr>
    </w:p>
    <w:p>
      <w:r>
        <w:rPr>
          <w:rFonts w:ascii="Times New Roman" w:hAnsi="Times New Roman"/>
        </w:rPr>
      </w:r>
      <w:r>
        <w:rPr>
          <w:rFonts w:ascii="Times New Roman" w:hAnsi="Times New Roman"/>
          <w:b/>
        </w:rPr>
        <w:t>Figure 2: Star Schema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3845859"/>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3845859"/>
                    </a:xfrm>
                    <a:prstGeom prst="rect"/>
                  </pic:spPr>
                </pic:pic>
              </a:graphicData>
            </a:graphic>
          </wp:inline>
        </w:drawing>
      </w:r>
    </w:p>
    <w:p>
      <w:pPr>
        <w:jc w:val="center"/>
      </w:pPr>
      <w:r>
        <w:rPr>
          <w:rFonts w:ascii="Times New Roman" w:hAnsi="Times New Roman"/>
          <w:i/>
          <w:color w:val="000000"/>
          <w:sz w:val="24"/>
        </w:rPr>
        <w:t>Dimensional Star Schema Diagram</w:t>
      </w:r>
    </w:p>
    <w:p/>
    <w:p>
      <w:pPr>
        <w:spacing w:after="40"/>
      </w:pPr>
    </w:p>
    <w:p>
      <w:r>
        <w:rPr>
          <w:rFonts w:ascii="Times New Roman" w:hAnsi="Times New Roman"/>
        </w:rPr>
      </w:r>
      <w:r>
        <w:rPr>
          <w:rFonts w:ascii="Times New Roman" w:hAnsi="Times New Roman"/>
          <w:i/>
        </w:rPr>
        <w:t>Dimensional star schema generated using a diagramming tool. Each table box lists attributes with data types, and the relationship lines connect the central fact table to the five dimensions without relationship labels.</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designed for future performance tuning: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follow the original FactWeeklySales structure at reduced grain, following Kimball’s guidance. For </w:t>
      </w:r>
      <w:r>
        <w:rPr>
          <w:rFonts w:ascii="Times New Roman" w:hAnsi="Times New Roman"/>
          <w:b/>
        </w:rPr>
        <w:t>indexing</w:t>
      </w:r>
      <w:r>
        <w:rPr>
          <w:rFonts w:ascii="Times New Roman" w:hAnsi="Times New Roman"/>
        </w:rPr>
        <w:t>, the implemented schema uses clustered primary keys on dimension and fact surrogate keys, and the indexing plan recommends nonclustered indexes on (time_key, store_key, product_key), promotion_key, and category_key for the most common BQ filters and joins. During a production-scale bulk load, secondary indexes would be created after loading to avoid ETL slowdowns.</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planned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FactWeeklySales is the largest table and can be horizontally partitioned by time_key in a production deployment so that queries scan only relevant year/week ranges.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The aggregate-table plan identifies three pre-computed summary tables that can be materialized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planned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w:t>
      </w:r>
      <w:r>
        <w:rPr>
          <w:rFonts w:ascii="Times New Roman" w:hAnsi="Times New Roman"/>
        </w:rPr>
        <w:t xml:space="preserve"> This is the largest and most complex load. The raw source volume across the four categories is ~34.6M rows; after ETL quality filters (OK=1, PRICE&gt;0) and INNER JOIN enforcement against all five dimensions, the actual loaded count is 11,976,442 rows.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IF COL_LENGTH('dbo.stg_Movement_SDR', 'CATEGORY_CODE') IS NULL</w:t>
              <w:br/>
              <w:t xml:space="preserve">    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(11,976,442 loaded rows from ~34.6M raw source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 raw source rows</w:t>
            </w:r>
          </w:p>
        </w:tc>
        <w:tc>
          <w:tcPr>
            <w:tcW w:type="dxa" w:w="2340"/>
          </w:tcPr>
          <w:p>
            <w:r/>
            <w:r>
              <w:rPr>
                <w:rFonts w:ascii="Times New Roman" w:hAnsi="Times New Roman"/>
                <w:sz w:val="18"/>
              </w:rPr>
              <w:t>11,976,442</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selected categories. The actual loaded count of 11,976,442 matches the SSMS verification screenshot for </w:t>
      </w:r>
      <w:r>
        <w:rPr>
          <w:rFonts w:ascii="Courier New" w:hAnsi="Courier New"/>
          <w:color w:val="000000"/>
          <w:sz w:val="24"/>
        </w:rPr>
        <w:t>SELECT COUNT(*) FROM FactWeeklySales</w:t>
      </w:r>
      <w:r>
        <w:rPr>
          <w:rFonts w:ascii="Times New Roman" w:hAnsi="Times New Roman"/>
        </w:rPr>
        <w:t>. The difference between raw source volume and loaded fact volume reflects ETL quality filters (</w:t>
      </w:r>
      <w:r>
        <w:rPr>
          <w:rFonts w:ascii="Courier New" w:hAnsi="Courier New"/>
          <w:color w:val="000000"/>
          <w:sz w:val="24"/>
        </w:rPr>
        <w:t>OK = 1</w:t>
      </w:r>
      <w:r>
        <w:rPr>
          <w:rFonts w:ascii="Times New Roman" w:hAnsi="Times New Roman"/>
        </w:rPr>
        <w:t xml:space="preserve">, </w:t>
      </w:r>
      <w:r>
        <w:rPr>
          <w:rFonts w:ascii="Courier New" w:hAnsi="Courier New"/>
          <w:color w:val="000000"/>
          <w:sz w:val="24"/>
        </w:rPr>
        <w:t>PRICE &gt; 0</w:t>
      </w:r>
      <w:r>
        <w:rPr>
          <w:rFonts w:ascii="Times New Roman" w:hAnsi="Times New Roman"/>
        </w:rPr>
        <w:t>) plus the inner joins used to enforce valid product, store, time, category, and promotion dimension references. This prevents orphaned facts and directly addresses the foreign-key integrity issue noted in prior feedback.</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3"/>
      </w:pPr>
      <w:r>
        <w:rPr>
          <w:rFonts w:ascii="Times New Roman" w:hAnsi="Times New Roman"/>
          <w:color w:val="000000"/>
          <w:sz w:val="24"/>
        </w:rPr>
        <w:t>5.1.4 Report Templates</w:t>
      </w:r>
    </w:p>
    <w:p>
      <w:pPr>
        <w:spacing w:after="40"/>
      </w:pPr>
    </w:p>
    <w:p>
      <w:r>
        <w:rPr>
          <w:rFonts w:ascii="Times New Roman" w:hAnsi="Times New Roman"/>
        </w:rPr>
        <w:t>The reporting templates were designed to keep every output decision-support oriented rather than decorative. Each template starts from a business question, exposes the relevant dimensions, and presents the measure in the form most useful to DFF management.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Template</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Layout</w:t>
            </w:r>
          </w:p>
        </w:tc>
        <w:tc>
          <w:tcPr>
            <w:tcW w:type="dxa" w:w="2340"/>
            <w:shd w:fill="D9E2F3" w:val="clear"/>
          </w:tcPr>
          <w:p>
            <w:r/>
            <w:r>
              <w:rPr>
                <w:rFonts w:ascii="Times New Roman" w:hAnsi="Times New Roman"/>
                <w:b/>
                <w:sz w:val="18"/>
              </w:rPr>
              <w:t>Decision-Support Purpose</w:t>
            </w:r>
          </w:p>
        </w:tc>
      </w:tr>
      <w:tr>
        <w:tc>
          <w:tcPr>
            <w:tcW w:type="dxa" w:w="2340"/>
          </w:tcPr>
          <w:p>
            <w:r/>
            <w:r>
              <w:rPr>
                <w:rFonts w:ascii="Times New Roman" w:hAnsi="Times New Roman"/>
                <w:sz w:val="18"/>
              </w:rPr>
              <w:t>Weekly trend report</w:t>
            </w:r>
          </w:p>
        </w:tc>
        <w:tc>
          <w:tcPr>
            <w:tcW w:type="dxa" w:w="2340"/>
          </w:tcPr>
          <w:p>
            <w:r/>
            <w:r>
              <w:rPr>
                <w:rFonts w:ascii="Times New Roman" w:hAnsi="Times New Roman"/>
                <w:sz w:val="18"/>
              </w:rPr>
              <w:t>SSRS</w:t>
            </w:r>
          </w:p>
        </w:tc>
        <w:tc>
          <w:tcPr>
            <w:tcW w:type="dxa" w:w="2340"/>
          </w:tcPr>
          <w:p>
            <w:r/>
            <w:r>
              <w:rPr>
                <w:rFonts w:ascii="Times New Roman" w:hAnsi="Times New Roman"/>
                <w:sz w:val="18"/>
              </w:rPr>
              <w:t>Line chart above a supporting table; week on the X-axis and total units on the Y-axis</w:t>
            </w:r>
          </w:p>
        </w:tc>
        <w:tc>
          <w:tcPr>
            <w:tcW w:type="dxa" w:w="2340"/>
          </w:tcPr>
          <w:p>
            <w:r/>
            <w:r>
              <w:rPr>
                <w:rFonts w:ascii="Times New Roman" w:hAnsi="Times New Roman"/>
                <w:sz w:val="18"/>
              </w:rPr>
              <w:t>Identifies Soft Drink demand spikes and weeks requiring inventory planning</w:t>
            </w:r>
          </w:p>
        </w:tc>
      </w:tr>
      <w:tr>
        <w:tc>
          <w:tcPr>
            <w:tcW w:type="dxa" w:w="2340"/>
          </w:tcPr>
          <w:p>
            <w:r/>
            <w:r>
              <w:rPr>
                <w:rFonts w:ascii="Times New Roman" w:hAnsi="Times New Roman"/>
                <w:sz w:val="18"/>
              </w:rPr>
              <w:t>Parameterized top-10 report</w:t>
            </w:r>
          </w:p>
        </w:tc>
        <w:tc>
          <w:tcPr>
            <w:tcW w:type="dxa" w:w="2340"/>
          </w:tcPr>
          <w:p>
            <w:r/>
            <w:r>
              <w:rPr>
                <w:rFonts w:ascii="Times New Roman" w:hAnsi="Times New Roman"/>
                <w:sz w:val="18"/>
              </w:rPr>
              <w:t>SSRS</w:t>
            </w:r>
          </w:p>
        </w:tc>
        <w:tc>
          <w:tcPr>
            <w:tcW w:type="dxa" w:w="2340"/>
          </w:tcPr>
          <w:p>
            <w:r/>
            <w:r>
              <w:rPr>
                <w:rFonts w:ascii="Times New Roman" w:hAnsi="Times New Roman"/>
                <w:sz w:val="18"/>
              </w:rPr>
              <w:t>Week selector parameter with ranked product table and conditional WoW formatting</w:t>
            </w:r>
          </w:p>
        </w:tc>
        <w:tc>
          <w:tcPr>
            <w:tcW w:type="dxa" w:w="2340"/>
          </w:tcPr>
          <w:p>
            <w:r/>
            <w:r>
              <w:rPr>
                <w:rFonts w:ascii="Times New Roman" w:hAnsi="Times New Roman"/>
                <w:sz w:val="18"/>
              </w:rPr>
              <w:t>Lets users inspect Cracker product velocity for any selected week</w:t>
            </w:r>
          </w:p>
        </w:tc>
      </w:tr>
      <w:tr>
        <w:tc>
          <w:tcPr>
            <w:tcW w:type="dxa" w:w="2340"/>
          </w:tcPr>
          <w:p>
            <w:r/>
            <w:r>
              <w:rPr>
                <w:rFonts w:ascii="Times New Roman" w:hAnsi="Times New Roman"/>
                <w:sz w:val="18"/>
              </w:rPr>
              <w:t>Cube pivot report</w:t>
            </w:r>
          </w:p>
        </w:tc>
        <w:tc>
          <w:tcPr>
            <w:tcW w:type="dxa" w:w="2340"/>
          </w:tcPr>
          <w:p>
            <w:r/>
            <w:r>
              <w:rPr>
                <w:rFonts w:ascii="Times New Roman" w:hAnsi="Times New Roman"/>
                <w:sz w:val="18"/>
              </w:rPr>
              <w:t>SSAS</w:t>
            </w:r>
          </w:p>
        </w:tc>
        <w:tc>
          <w:tcPr>
            <w:tcW w:type="dxa" w:w="2340"/>
          </w:tcPr>
          <w:p>
            <w:r/>
            <w:r>
              <w:rPr>
                <w:rFonts w:ascii="Times New Roman" w:hAnsi="Times New Roman"/>
                <w:sz w:val="18"/>
              </w:rPr>
              <w:t>Cube Browser pivot with promotion type on rows and time hierarchy available for drill-down</w:t>
            </w:r>
          </w:p>
        </w:tc>
        <w:tc>
          <w:tcPr>
            <w:tcW w:type="dxa" w:w="2340"/>
          </w:tcPr>
          <w:p>
            <w:r/>
            <w:r>
              <w:rPr>
                <w:rFonts w:ascii="Times New Roman" w:hAnsi="Times New Roman"/>
                <w:sz w:val="18"/>
              </w:rPr>
              <w:t>Compares promoted vs non-promoted sales volume interactively</w:t>
            </w:r>
          </w:p>
        </w:tc>
      </w:tr>
      <w:tr>
        <w:tc>
          <w:tcPr>
            <w:tcW w:type="dxa" w:w="2340"/>
          </w:tcPr>
          <w:p>
            <w:r/>
            <w:r>
              <w:rPr>
                <w:rFonts w:ascii="Times New Roman" w:hAnsi="Times New Roman"/>
                <w:sz w:val="18"/>
              </w:rPr>
              <w:t>Cloud query result</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SQL editor plus result grid showing promotion lift metrics</w:t>
            </w:r>
          </w:p>
        </w:tc>
        <w:tc>
          <w:tcPr>
            <w:tcW w:type="dxa" w:w="2340"/>
          </w:tcPr>
          <w:p>
            <w:r/>
            <w:r>
              <w:rPr>
                <w:rFonts w:ascii="Times New Roman" w:hAnsi="Times New Roman"/>
                <w:sz w:val="18"/>
              </w:rPr>
              <w:t>Provides auditable lift calculations for Canned Soup promotion types</w:t>
            </w:r>
          </w:p>
        </w:tc>
      </w:tr>
      <w:tr>
        <w:tc>
          <w:tcPr>
            <w:tcW w:type="dxa" w:w="2340"/>
          </w:tcPr>
          <w:p>
            <w:r/>
            <w:r>
              <w:rPr>
                <w:rFonts w:ascii="Times New Roman" w:hAnsi="Times New Roman"/>
                <w:sz w:val="18"/>
              </w:rPr>
              <w:t>Quartile dashboard</w:t>
            </w:r>
          </w:p>
        </w:tc>
        <w:tc>
          <w:tcPr>
            <w:tcW w:type="dxa" w:w="2340"/>
          </w:tcPr>
          <w:p>
            <w:r/>
            <w:r>
              <w:rPr>
                <w:rFonts w:ascii="Times New Roman" w:hAnsi="Times New Roman"/>
                <w:sz w:val="18"/>
              </w:rPr>
              <w:t>Power BI</w:t>
            </w:r>
          </w:p>
        </w:tc>
        <w:tc>
          <w:tcPr>
            <w:tcW w:type="dxa" w:w="2340"/>
          </w:tcPr>
          <w:p>
            <w:r/>
            <w:r>
              <w:rPr>
                <w:rFonts w:ascii="Times New Roman" w:hAnsi="Times New Roman"/>
                <w:sz w:val="18"/>
              </w:rPr>
              <w:t>Bar chart, demographic matrix, map, and KPI cards filtered to Toothpaste</w:t>
            </w:r>
          </w:p>
        </w:tc>
        <w:tc>
          <w:tcPr>
            <w:tcW w:type="dxa" w:w="2340"/>
          </w:tcPr>
          <w:p>
            <w:r/>
            <w:r>
              <w:rPr>
                <w:rFonts w:ascii="Times New Roman" w:hAnsi="Times New Roman"/>
                <w:sz w:val="18"/>
              </w:rPr>
              <w:t>Explains store revenue tiers using demographics and location context</w:t>
            </w:r>
          </w:p>
        </w:tc>
      </w:tr>
    </w:tbl>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Report 4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Report 4</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 xml:space="preserve">    CATEGORY_CODE CHAR(3)</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 xml:space="preserve">    CATEGORY_CODE CHAR(3)</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 xml:space="preserve">    CATEGORY_CODE CHAR(3)</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 xml:space="preserve">    CATEGORY_CODE CHAR(3)</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 xml:space="preserve">    CATEGORY_CODE CHAR(3)</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 xml:space="preserve">    CATEGORY_CODE CHAR(3)</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 xml:space="preserve">    CATEGORY_CODE CHAR(3)</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 xml:space="preserve">    CATEGORY_CODE CHAR(3)</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Report 4</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Report 4</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Add/populate CATEGORY_CODE column for each movement staging table</w:t>
              <w:br/>
              <w:t xml:space="preserve">-- This column does not exist in the CSV files; it is derived </w:t>
              <w:br/>
              <w:t>-- from the filename (e.g., wsdr.csv → 'SDR')</w:t>
              <w:br/>
              <w:br/>
              <w:t>IF COL_LENGTH('dbo.stg_Movement_SDR', 'CATEGORY_CODE') IS NULL</w:t>
              <w:br/>
              <w:t xml:space="preserve">    ALTER TABLE dbo.stg_Movement_SDR ADD CATEGORY_CODE CHAR(3);</w:t>
              <w:br/>
              <w:t>GO</w:t>
              <w:br/>
              <w:t>UPDATE dbo.stg_Movement_SDR SET CATEGORY_CODE = 'SDR';</w:t>
              <w:br/>
              <w:t>GO</w:t>
              <w:br/>
              <w:br/>
              <w:t>IF COL_LENGTH('dbo.stg_Movement_CSO', 'CATEGORY_CODE') IS NULL</w:t>
              <w:br/>
              <w:t xml:space="preserve">    ALTER TABLE dbo.stg_Movement_CSO ADD CATEGORY_CODE CHAR(3);</w:t>
              <w:br/>
              <w:t>GO</w:t>
              <w:br/>
              <w:t>UPDATE dbo.stg_Movement_CSO SET CATEGORY_CODE = 'CSO';</w:t>
              <w:br/>
              <w:t>GO</w:t>
              <w:br/>
              <w:br/>
              <w:t>IF COL_LENGTH('dbo.stg_Movement_TPA', 'CATEGORY_CODE') IS NULL</w:t>
              <w:br/>
              <w:t xml:space="preserve">    ALTER TABLE dbo.stg_Movement_TPA ADD CATEGORY_CODE CHAR(3);</w:t>
              <w:br/>
              <w:t>GO</w:t>
              <w:br/>
              <w:t>UPDATE dbo.stg_Movement_TPA SET CATEGORY_CODE = 'TPA';</w:t>
              <w:br/>
              <w:t>GO</w:t>
              <w:br/>
              <w:br/>
              <w:t>IF COL_LENGTH('dbo.stg_Movement_CRA', 'CATEGORY_CODE') IS NULL</w:t>
              <w:br/>
              <w:t xml:space="preserve">    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Add/populate CATEGORY_CODE column for each UPC staging table</w:t>
              <w:br/>
              <w:br/>
              <w:t>IF COL_LENGTH('dbo.stg_Product_SDR', 'CATEGORY_CODE') IS NULL</w:t>
              <w:br/>
              <w:t xml:space="preserve">    ALTER TABLE dbo.stg_Product_SDR ADD CATEGORY_CODE CHAR(3);</w:t>
              <w:br/>
              <w:t>GO</w:t>
              <w:br/>
              <w:t>UPDATE dbo.stg_Product_SDR SET CATEGORY_CODE = 'SDR';</w:t>
              <w:br/>
              <w:t>GO</w:t>
              <w:br/>
              <w:br/>
              <w:t>IF COL_LENGTH('dbo.stg_Product_CSO', 'CATEGORY_CODE') IS NULL</w:t>
              <w:br/>
              <w:t xml:space="preserve">    ALTER TABLE dbo.stg_Product_CSO ADD CATEGORY_CODE CHAR(3);</w:t>
              <w:br/>
              <w:t>GO</w:t>
              <w:br/>
              <w:t>UPDATE dbo.stg_Product_CSO SET CATEGORY_CODE = 'CSO';</w:t>
              <w:br/>
              <w:t>GO</w:t>
              <w:br/>
              <w:br/>
              <w:t>IF COL_LENGTH('dbo.stg_Product_TPA', 'CATEGORY_CODE') IS NULL</w:t>
              <w:br/>
              <w:t xml:space="preserve">    ALTER TABLE dbo.stg_Product_TPA ADD CATEGORY_CODE CHAR(3);</w:t>
              <w:br/>
              <w:t>GO</w:t>
              <w:br/>
              <w:t>UPDATE dbo.stg_Product_TPA SET CATEGORY_CODE = 'TPA';</w:t>
              <w:br/>
              <w:t>GO</w:t>
              <w:br/>
              <w:br/>
              <w:t>IF COL_LENGTH('dbo.stg_Product_CRA', 'CATEGORY_CODE') IS NULL</w:t>
              <w:br/>
              <w:t xml:space="preserve">    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Report 4</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Report 4</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Report 4</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Report 4</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pageBreakBefore w:val="0"/>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val="0"/>
      <w:keepLines/>
      <w:pageBreakBefore w:val="0"/>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val="0"/>
      <w:keepLines/>
      <w:pageBreakBefore w:val="0"/>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