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48"/>
        </w:rPr>
        <w:t>CONSULTING REPORT-1</w:t>
      </w:r>
    </w:p>
    <w:p>
      <w:pPr>
        <w:jc w:val="center"/>
      </w:pPr>
      <w:r>
        <w:rPr>
          <w:color w:val="2F5496"/>
          <w:sz w:val="32"/>
        </w:rPr>
        <w:t>Requirements Gathering to Create Business Questions</w:t>
        <w:br/>
        <w:t>And Domain Understanding</w:t>
      </w:r>
    </w:p>
    <w:p/>
    <w:p>
      <w:pPr>
        <w:jc w:val="center"/>
      </w:pPr>
      <w:r>
        <w:rPr>
          <w:sz w:val="26"/>
        </w:rPr>
        <w:t>Design and Implementation of a Data Warehouse</w:t>
        <w:br/>
        <w:t>for a Retail Store with Store-level Data</w:t>
      </w:r>
    </w:p>
    <w:p/>
    <w:p>
      <w:pPr>
        <w:jc w:val="center"/>
      </w:pPr>
      <w:r>
        <w:t>ISTM 637 , Data Warehousing</w:t>
      </w:r>
    </w:p>
    <w:p>
      <w:pPr>
        <w:jc w:val="center"/>
      </w:pPr>
      <w:r>
        <w:t>Texas A&amp;M University</w:t>
      </w:r>
    </w:p>
    <w:p>
      <w:pPr>
        <w:jc w:val="center"/>
      </w:pPr>
      <w:r>
        <w:t>Spring 2026</w:t>
      </w:r>
    </w:p>
    <w:p>
      <w:pPr>
        <w:jc w:val="center"/>
      </w:pPr>
    </w:p>
    <w:p>
      <w:pPr>
        <w:jc w:val="center"/>
      </w:pPr>
      <w:r>
        <w:t>Team Members:</w:t>
      </w:r>
    </w:p>
    <w:p>
      <w:pPr>
        <w:jc w:val="center"/>
      </w:pPr>
      <w:r>
        <w:t>[Member 1 Name]</w:t>
      </w:r>
    </w:p>
    <w:p>
      <w:pPr>
        <w:jc w:val="center"/>
      </w:pPr>
      <w:r>
        <w:t>[Member 2 Name]</w:t>
      </w:r>
    </w:p>
    <w:p>
      <w:pPr>
        <w:jc w:val="center"/>
      </w:pPr>
      <w:r>
        <w:t>[Member 3 Name]</w:t>
      </w:r>
    </w:p>
    <w:p>
      <w:pPr>
        <w:jc w:val="center"/>
      </w:pPr>
    </w:p>
    <w:p>
      <w:pPr>
        <w:jc w:val="center"/>
      </w:pPr>
      <w:r>
        <w:t>Date: February 25, 2026</w:t>
      </w:r>
    </w:p>
    <w:p>
      <w:r>
        <w:br w:type="page"/>
      </w:r>
    </w:p>
    <w:p>
      <w:pPr>
        <w:pStyle w:val="Heading1"/>
      </w:pPr>
      <w:r>
        <w:rPr>
          <w:color w:val="2F5496"/>
        </w:rPr>
        <w:t>Table of Contents</w:t>
      </w:r>
    </w:p>
    <w:p>
      <w:pPr/>
      <w:r>
        <w:rPr>
          <w:rFonts w:ascii="Courier New" w:hAnsi="Courier New"/>
          <w:sz w:val="20"/>
        </w:rPr>
        <w:t>1. Introduction .......................................................... 3</w:t>
      </w:r>
    </w:p>
    <w:p>
      <w:pPr/>
      <w:r>
        <w:rPr>
          <w:rFonts w:ascii="Courier New" w:hAnsi="Courier New"/>
          <w:sz w:val="20"/>
        </w:rPr>
        <w:t>2. Details about the Data ................................................ 4</w:t>
      </w:r>
    </w:p>
    <w:p>
      <w:pPr/>
      <w:r>
        <w:rPr>
          <w:rFonts w:ascii="Courier New" w:hAnsi="Courier New"/>
          <w:sz w:val="20"/>
        </w:rPr>
        <w:t xml:space="preserve">   2.1 Understanding of the Data ......................................... 4</w:t>
      </w:r>
    </w:p>
    <w:p>
      <w:pPr/>
      <w:r>
        <w:rPr>
          <w:rFonts w:ascii="Courier New" w:hAnsi="Courier New"/>
          <w:sz w:val="20"/>
        </w:rPr>
        <w:t xml:space="preserve">   2.2 Metadata for All OLTP Source Files ................................ 8</w:t>
      </w:r>
    </w:p>
    <w:p>
      <w:pPr/>
      <w:r>
        <w:rPr>
          <w:rFonts w:ascii="Courier New" w:hAnsi="Courier New"/>
          <w:sz w:val="20"/>
        </w:rPr>
        <w:t xml:space="preserve">   2.3 Entity Relationship Diagram ....................................... 12</w:t>
      </w:r>
    </w:p>
    <w:p>
      <w:pPr/>
      <w:r>
        <w:rPr>
          <w:rFonts w:ascii="Courier New" w:hAnsi="Courier New"/>
          <w:sz w:val="20"/>
        </w:rPr>
        <w:t>3. Retail Subject Area Understanding ..................................... 13</w:t>
      </w:r>
    </w:p>
    <w:p>
      <w:pPr/>
      <w:r>
        <w:rPr>
          <w:rFonts w:ascii="Courier New" w:hAnsi="Courier New"/>
          <w:sz w:val="20"/>
        </w:rPr>
        <w:t xml:space="preserve">   3.1 Literature Review ................................................. 13</w:t>
      </w:r>
    </w:p>
    <w:p>
      <w:pPr/>
      <w:r>
        <w:rPr>
          <w:rFonts w:ascii="Courier New" w:hAnsi="Courier New"/>
          <w:sz w:val="20"/>
        </w:rPr>
        <w:t xml:space="preserve">   3.2 Relevant Problems for DFF ......................................... 15</w:t>
      </w:r>
    </w:p>
    <w:p>
      <w:pPr/>
      <w:r>
        <w:rPr>
          <w:rFonts w:ascii="Courier New" w:hAnsi="Courier New"/>
          <w:sz w:val="20"/>
        </w:rPr>
        <w:t>4. Business Questions .................................................... 16</w:t>
      </w:r>
    </w:p>
    <w:p>
      <w:pPr/>
      <w:r>
        <w:rPr>
          <w:rFonts w:ascii="Courier New" w:hAnsi="Courier New"/>
          <w:sz w:val="20"/>
        </w:rPr>
        <w:t xml:space="preserve">   4.1 List of 10 Business Questions ..................................... 16</w:t>
      </w:r>
    </w:p>
    <w:p>
      <w:pPr/>
      <w:r>
        <w:rPr>
          <w:rFonts w:ascii="Courier New" w:hAnsi="Courier New"/>
          <w:sz w:val="20"/>
        </w:rPr>
        <w:t xml:space="preserve">   4.2 Data Evidence for Business Questions ............................... 20</w:t>
      </w:r>
    </w:p>
    <w:p>
      <w:pPr/>
      <w:r>
        <w:rPr>
          <w:rFonts w:ascii="Courier New" w:hAnsi="Courier New"/>
          <w:sz w:val="20"/>
        </w:rPr>
        <w:t xml:space="preserve">   4.3 Prioritization and Rationalization ................................. 24</w:t>
      </w:r>
    </w:p>
    <w:p>
      <w:pPr/>
      <w:r>
        <w:rPr>
          <w:rFonts w:ascii="Courier New" w:hAnsi="Courier New"/>
          <w:sz w:val="20"/>
        </w:rPr>
        <w:t>References ............................................................... 26</w:t>
      </w:r>
    </w:p>
    <w:p>
      <w:r>
        <w:br w:type="page"/>
      </w:r>
    </w:p>
    <w:p>
      <w:pPr>
        <w:pStyle w:val="Heading1"/>
      </w:pPr>
      <w:r>
        <w:rPr>
          <w:color w:val="2F5496"/>
        </w:rPr>
        <w:t>1. Introduction</w:t>
      </w:r>
    </w:p>
    <w:p>
      <w:r>
        <w:t>Dominick's Finer Foods (DFF) was a major supermarket chain operating approximately 100 stores in the Chicago metropolitan area. Between 1989 and 1994, the University of Chicago Booth School of Business (James M. Kilts Center for Marketing) partnered with Dominick's to conduct extensive store-level research on shelf management and pricing. Randomized experiments were conducted in over 25 product categories throughout the 100-store chain, producing one of the most comprehensive publicly available retail scanner datasets (Kilts Center, 2013, University of Chicago Booth).</w:t>
      </w:r>
    </w:p>
    <w:p>
      <w:r>
        <w:t>The DFF dataset consists of approximately 5 GB of store-level data covering sales of more than 3,500 UPCs (Universal Product Codes). The data includes weekly unit sales, retail prices, profit margins, deal/promotion codes, customer traffic counts, and store-level demographics derived from the 1990 U.S. Census. This dataset is notable for its comprehensive coverage and the inclusion of retail margin information, making it uniquely suitable for data warehouse design and OLAP analysis (https://www.chicagobooth.edu/research/kilts/datasets/dominicks).</w:t>
      </w:r>
    </w:p>
    <w:p>
      <w:r>
        <w:t>A brief history of the company can be found at the Company Histories archive (https://www.company-histories.com/Dominicks-Finer-Foods-Inc-Company-History.html). Dominick's operated as a prominent regional grocery chain before being acquired by Safeway in 1998, and the stores were eventually closed in 2013.</w:t>
      </w:r>
    </w:p>
    <w:p>
      <w:r>
        <w:t>The objective of this consulting project is to design and develop a data warehouse for DFF that enables OLAP (Online Analytical Processing) analysis of its retail operations. This first report focuses on requirements gathering: understanding the data, researching the retail domain, and developing 10 business questions that the data warehouse will answer. These questions are designed to provide actionable insights for DFF management on pricing, promotions, category management, and store performance.</w:t>
      </w:r>
    </w:p>
    <w:p>
      <w:r>
        <w:br w:type="page"/>
      </w:r>
    </w:p>
    <w:p>
      <w:pPr>
        <w:pStyle w:val="Heading1"/>
      </w:pPr>
      <w:r>
        <w:rPr>
          <w:color w:val="2F5496"/>
        </w:rPr>
        <w:t>2. Details about the Data</w:t>
      </w:r>
    </w:p>
    <w:p>
      <w:pPr>
        <w:pStyle w:val="Heading2"/>
      </w:pPr>
      <w:r>
        <w:rPr>
          <w:color w:val="2F5496"/>
        </w:rPr>
        <w:t>2.1 Understanding of the Data</w:t>
      </w:r>
    </w:p>
    <w:p>
      <w:r>
        <w:t>To understand the DFF dataset, we imported sample data into Excel and performed exploratory analysis using Excel charts, Pivot Tables, and descriptive statistics. The following visualizations demonstrate key patterns in the data that inform our business questions.</w:t>
      </w:r>
    </w:p>
    <w:p>
      <w:pPr>
        <w:pStyle w:val="Heading3"/>
      </w:pPr>
      <w:r>
        <w:rPr>
          <w:color w:val="2F5496"/>
        </w:rPr>
        <w:t>Figure 1: Total Units Sold by Product Category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1_category_volume.png"/>
                    <pic:cNvPicPr/>
                  </pic:nvPicPr>
                  <pic:blipFill>
                    <a:blip r:embed="rId9"/>
                    <a:stretch>
                      <a:fillRect/>
                    </a:stretch>
                  </pic:blipFill>
                  <pic:spPr>
                    <a:xfrm>
                      <a:off x="0" y="0"/>
                      <a:ext cx="5029200" cy="3017520"/>
                    </a:xfrm>
                    <a:prstGeom prst="rect"/>
                  </pic:spPr>
                </pic:pic>
              </a:graphicData>
            </a:graphic>
          </wp:inline>
        </w:drawing>
      </w:r>
    </w:p>
    <w:p>
      <w:pPr>
        <w:jc w:val="center"/>
      </w:pPr>
      <w:r>
        <w:rPr>
          <w:i/>
          <w:color w:val="595659"/>
          <w:sz w:val="18"/>
        </w:rPr>
        <w:t>Figure 1: Total units sold by product category (sample: 200K rows per file)</w:t>
      </w:r>
    </w:p>
    <w:p>
      <w:r>
        <w:t>Figure 1 shows the total units sold across 12 product categories sampled from the DFF dataset. Cigarettes and Canned Soup lead in volume from this sample, while Grooming Products shows the lowest volume. The wide variation in category volumes (from ~9K to over 8M units in sample) indicates that DFF categories have vastly different demand profiles, which must be accounted for in shelf space allocation and inventory management.</w:t>
      </w:r>
    </w:p>
    <w:p>
      <w:pPr>
        <w:pStyle w:val="Heading3"/>
      </w:pPr>
      <w:r>
        <w:rPr>
          <w:color w:val="2F5496"/>
        </w:rPr>
        <w:t>Figure 2: Weekly Sales Trend , Soft Drinks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2_weekly_sdr_trend.png"/>
                    <pic:cNvPicPr/>
                  </pic:nvPicPr>
                  <pic:blipFill>
                    <a:blip r:embed="rId10"/>
                    <a:stretch>
                      <a:fillRect/>
                    </a:stretch>
                  </pic:blipFill>
                  <pic:spPr>
                    <a:xfrm>
                      <a:off x="0" y="0"/>
                      <a:ext cx="5029200" cy="3017520"/>
                    </a:xfrm>
                    <a:prstGeom prst="rect"/>
                  </pic:spPr>
                </pic:pic>
              </a:graphicData>
            </a:graphic>
          </wp:inline>
        </w:drawing>
      </w:r>
    </w:p>
    <w:p>
      <w:pPr>
        <w:jc w:val="center"/>
      </w:pPr>
      <w:r>
        <w:rPr>
          <w:i/>
          <w:color w:val="595659"/>
          <w:sz w:val="18"/>
        </w:rPr>
        <w:t>Figure 2: Weekly total unit sales for Soft Drinks (SDR) category over time</w:t>
      </w:r>
    </w:p>
    <w:p>
      <w:r>
        <w:t>Figure 2 displays the weekly unit sales trend for Soft Drinks, the largest category by row count (17.7 million rows). The data reveals significant weekly variation with periodic spikes that likely correspond to promotional events and seasonal demand patterns. These spikes , where weekly sales can reach over 150,000 units compared to a baseline of ~20,000 , demonstrate the dramatic impact of promotions on sales volume and validate the need for time-series OLAP analysis.</w:t>
      </w:r>
    </w:p>
    <w:p>
      <w:pPr>
        <w:pStyle w:val="Heading3"/>
      </w:pPr>
      <w:r>
        <w:rPr>
          <w:color w:val="2F5496"/>
        </w:rPr>
        <w:t>Figure 3: Promotion vs Non-Promotion Sales Comparison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3_promo_vs_nonpromo.png"/>
                    <pic:cNvPicPr/>
                  </pic:nvPicPr>
                  <pic:blipFill>
                    <a:blip r:embed="rId11"/>
                    <a:stretch>
                      <a:fillRect/>
                    </a:stretch>
                  </pic:blipFill>
                  <pic:spPr>
                    <a:xfrm>
                      <a:off x="0" y="0"/>
                      <a:ext cx="5029200" cy="3017520"/>
                    </a:xfrm>
                    <a:prstGeom prst="rect"/>
                  </pic:spPr>
                </pic:pic>
              </a:graphicData>
            </a:graphic>
          </wp:inline>
        </w:drawing>
      </w:r>
    </w:p>
    <w:p>
      <w:pPr>
        <w:jc w:val="center"/>
      </w:pPr>
      <w:r>
        <w:rPr>
          <w:i/>
          <w:color w:val="595659"/>
          <w:sz w:val="18"/>
        </w:rPr>
        <w:t>Figure 3: Average units sold during promoted vs non-promoted periods (Soft Drinks)</w:t>
      </w:r>
    </w:p>
    <w:p>
      <w:r>
        <w:t>Figure 3 compares the average units sold when a promotion is active versus when no promotion is running. Promoted items sell an average of 133.60 units compared to 16.85 units for non-promoted items , a 7.9× sales lift. This confirms that promotions are highly effective at driving sales volume and validates the importance of promotion-related business questions.</w:t>
      </w:r>
    </w:p>
    <w:p>
      <w:pPr>
        <w:pStyle w:val="Heading3"/>
      </w:pPr>
      <w:r>
        <w:rPr>
          <w:color w:val="2F5496"/>
        </w:rPr>
        <w:t>Figure 4: Store Demographics , Urban/Suburban and Zone Distribution</w:t>
      </w:r>
    </w:p>
    <w:p>
      <w:pPr>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chart4_demographics.png"/>
                    <pic:cNvPicPr/>
                  </pic:nvPicPr>
                  <pic:blipFill>
                    <a:blip r:embed="rId12"/>
                    <a:stretch>
                      <a:fillRect/>
                    </a:stretch>
                  </pic:blipFill>
                  <pic:spPr>
                    <a:xfrm>
                      <a:off x="0" y="0"/>
                      <a:ext cx="5486400" cy="2286000"/>
                    </a:xfrm>
                    <a:prstGeom prst="rect"/>
                  </pic:spPr>
                </pic:pic>
              </a:graphicData>
            </a:graphic>
          </wp:inline>
        </w:drawing>
      </w:r>
    </w:p>
    <w:p>
      <w:pPr>
        <w:jc w:val="center"/>
      </w:pPr>
      <w:r>
        <w:rPr>
          <w:i/>
          <w:color w:val="595659"/>
          <w:sz w:val="18"/>
        </w:rPr>
        <w:t>Figure 4: Distribution of DFF stores by urban/suburban classification and pricing zone</w:t>
      </w:r>
    </w:p>
    <w:p>
      <w:r>
        <w:t>Figure 4 shows two key demographic dimensions of DFF's 107 stores. Approximately 38% of stores are urban and 62% are suburban. The pricing zone distribution shows Zone 2 has the highest concentration of stores, while several zones have only 1-3 stores. These demographic variations enable cross-store comparison analysis and support zone pricing optimization questions.</w:t>
      </w:r>
    </w:p>
    <w:p>
      <w:pPr>
        <w:pStyle w:val="Heading3"/>
      </w:pPr>
      <w:r>
        <w:rPr>
          <w:color w:val="2F5496"/>
        </w:rPr>
        <w:t>Figure 5: Descriptive Statistics by Category</w:t>
      </w:r>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chart5_descriptive_stats.png"/>
                    <pic:cNvPicPr/>
                  </pic:nvPicPr>
                  <pic:blipFill>
                    <a:blip r:embed="rId13"/>
                    <a:stretch>
                      <a:fillRect/>
                    </a:stretch>
                  </pic:blipFill>
                  <pic:spPr>
                    <a:xfrm>
                      <a:off x="0" y="0"/>
                      <a:ext cx="5486400" cy="2194560"/>
                    </a:xfrm>
                    <a:prstGeom prst="rect"/>
                  </pic:spPr>
                </pic:pic>
              </a:graphicData>
            </a:graphic>
          </wp:inline>
        </w:drawing>
      </w:r>
    </w:p>
    <w:p>
      <w:pPr>
        <w:jc w:val="center"/>
      </w:pPr>
      <w:r>
        <w:rPr>
          <w:i/>
          <w:color w:val="595659"/>
          <w:sz w:val="18"/>
        </w:rPr>
        <w:t>Figure 5: Descriptive statistics (mean, median, std dev, max, min, avg price, avg profit) by category</w:t>
      </w:r>
    </w:p>
    <w:p>
      <w:r>
        <w:t>Figure 5 presents key descriptive statistics across six product categories. Notable findings include: (1) Soft Drinks have a very high standard deviation (117.27) relative to mean (17.07), indicating extreme sales variation driven by promotions; (2) Soft Drinks show negative average profit (-$8.28), suggesting loss-leader pricing strategy; (3) Cheeses have the highest average profit ($22.66), making them strategically important for margin management; and (4) Grooming Products have the lowest average movement (0.21), indicating slow-moving inventory.</w:t>
      </w:r>
    </w:p>
    <w:p>
      <w:pPr>
        <w:pStyle w:val="Heading3"/>
      </w:pPr>
      <w:r>
        <w:rPr>
          <w:color w:val="2F5496"/>
        </w:rPr>
        <w:t>Figure 6: Beer Price Spread Across Stores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chart6_beer_price_spread.png"/>
                    <pic:cNvPicPr/>
                  </pic:nvPicPr>
                  <pic:blipFill>
                    <a:blip r:embed="rId14"/>
                    <a:stretch>
                      <a:fillRect/>
                    </a:stretch>
                  </pic:blipFill>
                  <pic:spPr>
                    <a:xfrm>
                      <a:off x="0" y="0"/>
                      <a:ext cx="5029200" cy="3017520"/>
                    </a:xfrm>
                    <a:prstGeom prst="rect"/>
                  </pic:spPr>
                </pic:pic>
              </a:graphicData>
            </a:graphic>
          </wp:inline>
        </w:drawing>
      </w:r>
    </w:p>
    <w:p>
      <w:pPr>
        <w:jc w:val="center"/>
      </w:pPr>
      <w:r>
        <w:rPr>
          <w:i/>
          <w:color w:val="595659"/>
          <w:sz w:val="18"/>
        </w:rPr>
        <w:t>Figure 6: Top 10 Beer products by price spread (max - min unit price) across stores</w:t>
      </w:r>
    </w:p>
    <w:p>
      <w:r>
        <w:t>Figure 6 identifies the Beer products with the largest price variation across DFF stores. Several products show price spreads exceeding $3-4, which may indicate pricing inconsistencies, zone pricing differences, or data quality issues. This type of pricing audit analysis is valuable for ensuring pricing compliance across the store chain.</w:t>
      </w:r>
    </w:p>
    <w:p>
      <w:r>
        <w:br w:type="page"/>
      </w:r>
    </w:p>
    <w:p>
      <w:pPr>
        <w:pStyle w:val="Heading2"/>
      </w:pPr>
      <w:r>
        <w:rPr>
          <w:color w:val="2F5496"/>
        </w:rPr>
        <w:t>2.2 Metadata for All OLTP Source Files</w:t>
      </w:r>
    </w:p>
    <w:p>
      <w:r>
        <w:t>The DFF dataset consists of four types of OLTP source files organized into two categories: General Files (Customer Counts and Demographics) and Category-Specific Files (Movement and UPC). The following sections describe the metadata for each file type.</w:t>
      </w:r>
    </w:p>
    <w:p>
      <w:pPr>
        <w:pStyle w:val="Heading3"/>
      </w:pPr>
      <w:r>
        <w:rPr>
          <w:color w:val="2F5496"/>
        </w:rPr>
        <w:t>A. Movement Files (Weekly Sales Data)</w:t>
      </w:r>
    </w:p>
    <w:p>
      <w:r>
        <w:t>The Movement files contain weekly sales data for each UPC in each store, spanning over 5 years. There are 24 files , one for each product category , totaling approximately 134.9 million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Data Type</w:t>
            </w:r>
          </w:p>
        </w:tc>
        <w:tc>
          <w:tcPr>
            <w:tcW w:type="dxa" w:w="2880"/>
          </w:tcPr>
          <w:p>
            <w:r>
              <w:rPr>
                <w:b/>
                <w:sz w:val="20"/>
              </w:rPr>
              <w:t>Description</w:t>
            </w:r>
          </w:p>
        </w:tc>
      </w:tr>
      <w:tr>
        <w:tc>
          <w:tcPr>
            <w:tcW w:type="dxa" w:w="2880"/>
          </w:tcPr>
          <w:p>
            <w:r>
              <w:rPr>
                <w:sz w:val="20"/>
              </w:rPr>
              <w:t>UPC</w:t>
            </w:r>
          </w:p>
        </w:tc>
        <w:tc>
          <w:tcPr>
            <w:tcW w:type="dxa" w:w="2880"/>
          </w:tcPr>
          <w:p>
            <w:r>
              <w:rPr>
                <w:sz w:val="20"/>
              </w:rPr>
              <w:t>Integer</w:t>
            </w:r>
          </w:p>
        </w:tc>
        <w:tc>
          <w:tcPr>
            <w:tcW w:type="dxa" w:w="2880"/>
          </w:tcPr>
          <w:p>
            <w:r>
              <w:rPr>
                <w:sz w:val="20"/>
              </w:rPr>
              <w:t>Universal Product Code , join key to UPC files</w:t>
            </w:r>
          </w:p>
        </w:tc>
      </w:tr>
      <w:tr>
        <w:tc>
          <w:tcPr>
            <w:tcW w:type="dxa" w:w="2880"/>
          </w:tcPr>
          <w:p>
            <w:r>
              <w:rPr>
                <w:sz w:val="20"/>
              </w:rPr>
              <w:t>STORE</w:t>
            </w:r>
          </w:p>
        </w:tc>
        <w:tc>
          <w:tcPr>
            <w:tcW w:type="dxa" w:w="2880"/>
          </w:tcPr>
          <w:p>
            <w:r>
              <w:rPr>
                <w:sz w:val="20"/>
              </w:rPr>
              <w:t>Integer</w:t>
            </w:r>
          </w:p>
        </w:tc>
        <w:tc>
          <w:tcPr>
            <w:tcW w:type="dxa" w:w="2880"/>
          </w:tcPr>
          <w:p>
            <w:r>
              <w:rPr>
                <w:sz w:val="20"/>
              </w:rPr>
              <w:t>Store identifier , join key to Demographics</w:t>
            </w:r>
          </w:p>
        </w:tc>
      </w:tr>
      <w:tr>
        <w:tc>
          <w:tcPr>
            <w:tcW w:type="dxa" w:w="2880"/>
          </w:tcPr>
          <w:p>
            <w:r>
              <w:rPr>
                <w:sz w:val="20"/>
              </w:rPr>
              <w:t>WEEK</w:t>
            </w:r>
          </w:p>
        </w:tc>
        <w:tc>
          <w:tcPr>
            <w:tcW w:type="dxa" w:w="2880"/>
          </w:tcPr>
          <w:p>
            <w:r>
              <w:rPr>
                <w:sz w:val="20"/>
              </w:rPr>
              <w:t>Integer</w:t>
            </w:r>
          </w:p>
        </w:tc>
        <w:tc>
          <w:tcPr>
            <w:tcW w:type="dxa" w:w="2880"/>
          </w:tcPr>
          <w:p>
            <w:r>
              <w:rPr>
                <w:sz w:val="20"/>
              </w:rPr>
              <w:t>Proprietary week number (Week 1 ≈ Sep 14, 1989)</w:t>
            </w:r>
          </w:p>
        </w:tc>
      </w:tr>
      <w:tr>
        <w:tc>
          <w:tcPr>
            <w:tcW w:type="dxa" w:w="2880"/>
          </w:tcPr>
          <w:p>
            <w:r>
              <w:rPr>
                <w:sz w:val="20"/>
              </w:rPr>
              <w:t>MOVE</w:t>
            </w:r>
          </w:p>
        </w:tc>
        <w:tc>
          <w:tcPr>
            <w:tcW w:type="dxa" w:w="2880"/>
          </w:tcPr>
          <w:p>
            <w:r>
              <w:rPr>
                <w:sz w:val="20"/>
              </w:rPr>
              <w:t>Integer</w:t>
            </w:r>
          </w:p>
        </w:tc>
        <w:tc>
          <w:tcPr>
            <w:tcW w:type="dxa" w:w="2880"/>
          </w:tcPr>
          <w:p>
            <w:r>
              <w:rPr>
                <w:sz w:val="20"/>
              </w:rPr>
              <w:t>Units sold (movement) during the week</w:t>
            </w:r>
          </w:p>
        </w:tc>
      </w:tr>
      <w:tr>
        <w:tc>
          <w:tcPr>
            <w:tcW w:type="dxa" w:w="2880"/>
          </w:tcPr>
          <w:p>
            <w:r>
              <w:rPr>
                <w:sz w:val="20"/>
              </w:rPr>
              <w:t>QTY</w:t>
            </w:r>
          </w:p>
        </w:tc>
        <w:tc>
          <w:tcPr>
            <w:tcW w:type="dxa" w:w="2880"/>
          </w:tcPr>
          <w:p>
            <w:r>
              <w:rPr>
                <w:sz w:val="20"/>
              </w:rPr>
              <w:t>Integer</w:t>
            </w:r>
          </w:p>
        </w:tc>
        <w:tc>
          <w:tcPr>
            <w:tcW w:type="dxa" w:w="2880"/>
          </w:tcPr>
          <w:p>
            <w:r>
              <w:rPr>
                <w:sz w:val="20"/>
              </w:rPr>
              <w:t>Number of units for listed price (e.g., 2-for-$3 → QTY=2)</w:t>
            </w:r>
          </w:p>
        </w:tc>
      </w:tr>
      <w:tr>
        <w:tc>
          <w:tcPr>
            <w:tcW w:type="dxa" w:w="2880"/>
          </w:tcPr>
          <w:p>
            <w:r>
              <w:rPr>
                <w:sz w:val="20"/>
              </w:rPr>
              <w:t>PRICE</w:t>
            </w:r>
          </w:p>
        </w:tc>
        <w:tc>
          <w:tcPr>
            <w:tcW w:type="dxa" w:w="2880"/>
          </w:tcPr>
          <w:p>
            <w:r>
              <w:rPr>
                <w:sz w:val="20"/>
              </w:rPr>
              <w:t>Decimal</w:t>
            </w:r>
          </w:p>
        </w:tc>
        <w:tc>
          <w:tcPr>
            <w:tcW w:type="dxa" w:w="2880"/>
          </w:tcPr>
          <w:p>
            <w:r>
              <w:rPr>
                <w:sz w:val="20"/>
              </w:rPr>
              <w:t>Shelf price during the week</w:t>
            </w:r>
          </w:p>
        </w:tc>
      </w:tr>
      <w:tr>
        <w:tc>
          <w:tcPr>
            <w:tcW w:type="dxa" w:w="2880"/>
          </w:tcPr>
          <w:p>
            <w:r>
              <w:rPr>
                <w:sz w:val="20"/>
              </w:rPr>
              <w:t>SALE</w:t>
            </w:r>
          </w:p>
        </w:tc>
        <w:tc>
          <w:tcPr>
            <w:tcW w:type="dxa" w:w="2880"/>
          </w:tcPr>
          <w:p>
            <w:r>
              <w:rPr>
                <w:sz w:val="20"/>
              </w:rPr>
              <w:t>Text</w:t>
            </w:r>
          </w:p>
        </w:tc>
        <w:tc>
          <w:tcPr>
            <w:tcW w:type="dxa" w:w="2880"/>
          </w:tcPr>
          <w:p>
            <w:r>
              <w:rPr>
                <w:sz w:val="20"/>
              </w:rPr>
              <w:t>Deal flag: B=Bonus Buy, C=Coupon, S=Sale, blank=No promo</w:t>
            </w:r>
          </w:p>
        </w:tc>
      </w:tr>
      <w:tr>
        <w:tc>
          <w:tcPr>
            <w:tcW w:type="dxa" w:w="2880"/>
          </w:tcPr>
          <w:p>
            <w:r>
              <w:rPr>
                <w:sz w:val="20"/>
              </w:rPr>
              <w:t>PROFIT</w:t>
            </w:r>
          </w:p>
        </w:tc>
        <w:tc>
          <w:tcPr>
            <w:tcW w:type="dxa" w:w="2880"/>
          </w:tcPr>
          <w:p>
            <w:r>
              <w:rPr>
                <w:sz w:val="20"/>
              </w:rPr>
              <w:t>Decimal</w:t>
            </w:r>
          </w:p>
        </w:tc>
        <w:tc>
          <w:tcPr>
            <w:tcW w:type="dxa" w:w="2880"/>
          </w:tcPr>
          <w:p>
            <w:r>
              <w:rPr>
                <w:sz w:val="20"/>
              </w:rPr>
              <w:t>Gross profit for the week</w:t>
            </w:r>
          </w:p>
        </w:tc>
      </w:tr>
      <w:tr>
        <w:tc>
          <w:tcPr>
            <w:tcW w:type="dxa" w:w="2880"/>
          </w:tcPr>
          <w:p>
            <w:r>
              <w:rPr>
                <w:sz w:val="20"/>
              </w:rPr>
              <w:t>OK</w:t>
            </w:r>
          </w:p>
        </w:tc>
        <w:tc>
          <w:tcPr>
            <w:tcW w:type="dxa" w:w="2880"/>
          </w:tcPr>
          <w:p>
            <w:r>
              <w:rPr>
                <w:sz w:val="20"/>
              </w:rPr>
              <w:t>Integer</w:t>
            </w:r>
          </w:p>
        </w:tc>
        <w:tc>
          <w:tcPr>
            <w:tcW w:type="dxa" w:w="2880"/>
          </w:tcPr>
          <w:p>
            <w:r>
              <w:rPr>
                <w:sz w:val="20"/>
              </w:rPr>
              <w:t>Data quality flag (1 = valid observation)</w:t>
            </w:r>
          </w:p>
        </w:tc>
      </w:tr>
    </w:tbl>
    <w:p/>
    <w:p>
      <w:pPr>
        <w:jc w:val="center"/>
      </w:pPr>
      <w:r>
        <w:rPr>
          <w:i/>
          <w:color w:val="595659"/>
          <w:sz w:val="18"/>
        </w:rPr>
        <w:t>Table 1: Movement file column metadata</w:t>
      </w:r>
    </w:p>
    <w:p>
      <w:r>
        <w:t>Movement Files Inventory (24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Filename</w:t>
            </w:r>
          </w:p>
        </w:tc>
        <w:tc>
          <w:tcPr>
            <w:tcW w:type="dxa" w:w="2880"/>
          </w:tcPr>
          <w:p>
            <w:r>
              <w:rPr>
                <w:b/>
                <w:sz w:val="20"/>
              </w:rPr>
              <w:t>Rows</w:t>
            </w:r>
          </w:p>
        </w:tc>
      </w:tr>
      <w:tr>
        <w:tc>
          <w:tcPr>
            <w:tcW w:type="dxa" w:w="2880"/>
          </w:tcPr>
          <w:p>
            <w:r>
              <w:rPr>
                <w:sz w:val="20"/>
              </w:rPr>
              <w:t>Cookies (COO)</w:t>
            </w:r>
          </w:p>
        </w:tc>
        <w:tc>
          <w:tcPr>
            <w:tcW w:type="dxa" w:w="2880"/>
          </w:tcPr>
          <w:p>
            <w:r>
              <w:rPr>
                <w:sz w:val="20"/>
              </w:rPr>
              <w:t>DONE-WCOO.csv</w:t>
            </w:r>
          </w:p>
        </w:tc>
        <w:tc>
          <w:tcPr>
            <w:tcW w:type="dxa" w:w="2880"/>
          </w:tcPr>
          <w:p>
            <w:r>
              <w:rPr>
                <w:sz w:val="20"/>
              </w:rPr>
              <w:t>13,447,807</w:t>
            </w:r>
          </w:p>
        </w:tc>
      </w:tr>
      <w:tr>
        <w:tc>
          <w:tcPr>
            <w:tcW w:type="dxa" w:w="2880"/>
          </w:tcPr>
          <w:p>
            <w:r>
              <w:rPr>
                <w:sz w:val="20"/>
              </w:rPr>
              <w:t>Soft Drinks (SDR)</w:t>
            </w:r>
          </w:p>
        </w:tc>
        <w:tc>
          <w:tcPr>
            <w:tcW w:type="dxa" w:w="2880"/>
          </w:tcPr>
          <w:p>
            <w:r>
              <w:rPr>
                <w:sz w:val="20"/>
              </w:rPr>
              <w:t>wsdr.csv</w:t>
            </w:r>
          </w:p>
        </w:tc>
        <w:tc>
          <w:tcPr>
            <w:tcW w:type="dxa" w:w="2880"/>
          </w:tcPr>
          <w:p>
            <w:r>
              <w:rPr>
                <w:sz w:val="20"/>
              </w:rPr>
              <w:t>17,730,501</w:t>
            </w:r>
          </w:p>
        </w:tc>
      </w:tr>
      <w:tr>
        <w:tc>
          <w:tcPr>
            <w:tcW w:type="dxa" w:w="2880"/>
          </w:tcPr>
          <w:p>
            <w:r>
              <w:rPr>
                <w:sz w:val="20"/>
              </w:rPr>
              <w:t>Frozen Entrees (FRE)</w:t>
            </w:r>
          </w:p>
        </w:tc>
        <w:tc>
          <w:tcPr>
            <w:tcW w:type="dxa" w:w="2880"/>
          </w:tcPr>
          <w:p>
            <w:r>
              <w:rPr>
                <w:sz w:val="20"/>
              </w:rPr>
              <w:t>WFRE-Done.csv</w:t>
            </w:r>
          </w:p>
        </w:tc>
        <w:tc>
          <w:tcPr>
            <w:tcW w:type="dxa" w:w="2880"/>
          </w:tcPr>
          <w:p>
            <w:r>
              <w:rPr>
                <w:sz w:val="20"/>
              </w:rPr>
              <w:t>11,663,663</w:t>
            </w:r>
          </w:p>
        </w:tc>
      </w:tr>
      <w:tr>
        <w:tc>
          <w:tcPr>
            <w:tcW w:type="dxa" w:w="2880"/>
          </w:tcPr>
          <w:p>
            <w:r>
              <w:rPr>
                <w:sz w:val="20"/>
              </w:rPr>
              <w:t>Cheeses (CHE)</w:t>
            </w:r>
          </w:p>
        </w:tc>
        <w:tc>
          <w:tcPr>
            <w:tcW w:type="dxa" w:w="2880"/>
          </w:tcPr>
          <w:p>
            <w:r>
              <w:rPr>
                <w:sz w:val="20"/>
              </w:rPr>
              <w:t>Done-WCHE.csv</w:t>
            </w:r>
          </w:p>
        </w:tc>
        <w:tc>
          <w:tcPr>
            <w:tcW w:type="dxa" w:w="2880"/>
          </w:tcPr>
          <w:p>
            <w:r>
              <w:rPr>
                <w:sz w:val="20"/>
              </w:rPr>
              <w:t>9,427,395</w:t>
            </w:r>
          </w:p>
        </w:tc>
      </w:tr>
      <w:tr>
        <w:tc>
          <w:tcPr>
            <w:tcW w:type="dxa" w:w="2880"/>
          </w:tcPr>
          <w:p>
            <w:r>
              <w:rPr>
                <w:sz w:val="20"/>
              </w:rPr>
              <w:t>Analgesics (ANA)</w:t>
            </w:r>
          </w:p>
        </w:tc>
        <w:tc>
          <w:tcPr>
            <w:tcW w:type="dxa" w:w="2880"/>
          </w:tcPr>
          <w:p>
            <w:r>
              <w:rPr>
                <w:sz w:val="20"/>
              </w:rPr>
              <w:t>DONE-WANA.csv</w:t>
            </w:r>
          </w:p>
        </w:tc>
        <w:tc>
          <w:tcPr>
            <w:tcW w:type="dxa" w:w="2880"/>
          </w:tcPr>
          <w:p>
            <w:r>
              <w:rPr>
                <w:sz w:val="20"/>
              </w:rPr>
              <w:t>7,339,217</w:t>
            </w:r>
          </w:p>
        </w:tc>
      </w:tr>
      <w:tr>
        <w:tc>
          <w:tcPr>
            <w:tcW w:type="dxa" w:w="2880"/>
          </w:tcPr>
          <w:p>
            <w:r>
              <w:rPr>
                <w:sz w:val="20"/>
              </w:rPr>
              <w:t>Canned Soup (CSO)</w:t>
            </w:r>
          </w:p>
        </w:tc>
        <w:tc>
          <w:tcPr>
            <w:tcW w:type="dxa" w:w="2880"/>
          </w:tcPr>
          <w:p>
            <w:r>
              <w:rPr>
                <w:sz w:val="20"/>
              </w:rPr>
              <w:t>WCSO-Done.csv</w:t>
            </w:r>
          </w:p>
        </w:tc>
        <w:tc>
          <w:tcPr>
            <w:tcW w:type="dxa" w:w="2880"/>
          </w:tcPr>
          <w:p>
            <w:r>
              <w:rPr>
                <w:sz w:val="20"/>
              </w:rPr>
              <w:t>7,011,243</w:t>
            </w:r>
          </w:p>
        </w:tc>
      </w:tr>
      <w:tr>
        <w:tc>
          <w:tcPr>
            <w:tcW w:type="dxa" w:w="2880"/>
          </w:tcPr>
          <w:p>
            <w:r>
              <w:rPr>
                <w:sz w:val="20"/>
              </w:rPr>
              <w:t>Laundry Det. (LND)</w:t>
            </w:r>
          </w:p>
        </w:tc>
        <w:tc>
          <w:tcPr>
            <w:tcW w:type="dxa" w:w="2880"/>
          </w:tcPr>
          <w:p>
            <w:r>
              <w:rPr>
                <w:sz w:val="20"/>
              </w:rPr>
              <w:t>wlnd.csv</w:t>
            </w:r>
          </w:p>
        </w:tc>
        <w:tc>
          <w:tcPr>
            <w:tcW w:type="dxa" w:w="2880"/>
          </w:tcPr>
          <w:p>
            <w:r>
              <w:rPr>
                <w:sz w:val="20"/>
              </w:rPr>
              <w:t>6,742,910</w:t>
            </w:r>
          </w:p>
        </w:tc>
      </w:tr>
      <w:tr>
        <w:tc>
          <w:tcPr>
            <w:tcW w:type="dxa" w:w="2880"/>
          </w:tcPr>
          <w:p>
            <w:r>
              <w:rPr>
                <w:sz w:val="20"/>
              </w:rPr>
              <w:t>Cereals (CER)</w:t>
            </w:r>
          </w:p>
        </w:tc>
        <w:tc>
          <w:tcPr>
            <w:tcW w:type="dxa" w:w="2880"/>
          </w:tcPr>
          <w:p>
            <w:r>
              <w:rPr>
                <w:sz w:val="20"/>
              </w:rPr>
              <w:t>DONE-WCER.csv</w:t>
            </w:r>
          </w:p>
        </w:tc>
        <w:tc>
          <w:tcPr>
            <w:tcW w:type="dxa" w:w="2880"/>
          </w:tcPr>
          <w:p>
            <w:r>
              <w:rPr>
                <w:sz w:val="20"/>
              </w:rPr>
              <w:t>6,602,582</w:t>
            </w:r>
          </w:p>
        </w:tc>
      </w:tr>
      <w:tr>
        <w:tc>
          <w:tcPr>
            <w:tcW w:type="dxa" w:w="2880"/>
          </w:tcPr>
          <w:p>
            <w:r>
              <w:rPr>
                <w:sz w:val="20"/>
              </w:rPr>
              <w:t>Toothpaste (TPA)</w:t>
            </w:r>
          </w:p>
        </w:tc>
        <w:tc>
          <w:tcPr>
            <w:tcW w:type="dxa" w:w="2880"/>
          </w:tcPr>
          <w:p>
            <w:r>
              <w:rPr>
                <w:sz w:val="20"/>
              </w:rPr>
              <w:t>WTPA_done.csv</w:t>
            </w:r>
          </w:p>
        </w:tc>
        <w:tc>
          <w:tcPr>
            <w:tcW w:type="dxa" w:w="2880"/>
          </w:tcPr>
          <w:p>
            <w:r>
              <w:rPr>
                <w:sz w:val="20"/>
              </w:rPr>
              <w:t>6,310,896</w:t>
            </w:r>
          </w:p>
        </w:tc>
      </w:tr>
      <w:tr>
        <w:tc>
          <w:tcPr>
            <w:tcW w:type="dxa" w:w="2880"/>
          </w:tcPr>
          <w:p>
            <w:r>
              <w:rPr>
                <w:sz w:val="20"/>
              </w:rPr>
              <w:t>Bottled Juices (BJC)</w:t>
            </w:r>
          </w:p>
        </w:tc>
        <w:tc>
          <w:tcPr>
            <w:tcW w:type="dxa" w:w="2880"/>
          </w:tcPr>
          <w:p>
            <w:r>
              <w:rPr>
                <w:sz w:val="20"/>
              </w:rPr>
              <w:t>DONE-WBJC.csv</w:t>
            </w:r>
          </w:p>
        </w:tc>
        <w:tc>
          <w:tcPr>
            <w:tcW w:type="dxa" w:w="2880"/>
          </w:tcPr>
          <w:p>
            <w:r>
              <w:rPr>
                <w:sz w:val="20"/>
              </w:rPr>
              <w:t>6,222,797</w:t>
            </w:r>
          </w:p>
        </w:tc>
      </w:tr>
      <w:tr>
        <w:tc>
          <w:tcPr>
            <w:tcW w:type="dxa" w:w="2880"/>
          </w:tcPr>
          <w:p>
            <w:r>
              <w:rPr>
                <w:sz w:val="20"/>
              </w:rPr>
              <w:t>Cigarettes (CIG)</w:t>
            </w:r>
          </w:p>
        </w:tc>
        <w:tc>
          <w:tcPr>
            <w:tcW w:type="dxa" w:w="2880"/>
          </w:tcPr>
          <w:p>
            <w:r>
              <w:rPr>
                <w:sz w:val="20"/>
              </w:rPr>
              <w:t>Done-WCIG.csv</w:t>
            </w:r>
          </w:p>
        </w:tc>
        <w:tc>
          <w:tcPr>
            <w:tcW w:type="dxa" w:w="2880"/>
          </w:tcPr>
          <w:p>
            <w:r>
              <w:rPr>
                <w:sz w:val="20"/>
              </w:rPr>
              <w:t>5,398,197</w:t>
            </w:r>
          </w:p>
        </w:tc>
      </w:tr>
      <w:tr>
        <w:tc>
          <w:tcPr>
            <w:tcW w:type="dxa" w:w="2880"/>
          </w:tcPr>
          <w:p>
            <w:r>
              <w:rPr>
                <w:sz w:val="20"/>
              </w:rPr>
              <w:t>Toothbrushes (TBR)</w:t>
            </w:r>
          </w:p>
        </w:tc>
        <w:tc>
          <w:tcPr>
            <w:tcW w:type="dxa" w:w="2880"/>
          </w:tcPr>
          <w:p>
            <w:r>
              <w:rPr>
                <w:sz w:val="20"/>
              </w:rPr>
              <w:t>WTBR_done.csv</w:t>
            </w:r>
          </w:p>
        </w:tc>
        <w:tc>
          <w:tcPr>
            <w:tcW w:type="dxa" w:w="2880"/>
          </w:tcPr>
          <w:p>
            <w:r>
              <w:rPr>
                <w:sz w:val="20"/>
              </w:rPr>
              <w:t>4,529,484</w:t>
            </w:r>
          </w:p>
        </w:tc>
      </w:tr>
      <w:tr>
        <w:tc>
          <w:tcPr>
            <w:tcW w:type="dxa" w:w="2880"/>
          </w:tcPr>
          <w:p>
            <w:r>
              <w:rPr>
                <w:sz w:val="20"/>
              </w:rPr>
              <w:t>Fabric Softeners (FSF)</w:t>
            </w:r>
          </w:p>
        </w:tc>
        <w:tc>
          <w:tcPr>
            <w:tcW w:type="dxa" w:w="2880"/>
          </w:tcPr>
          <w:p>
            <w:r>
              <w:rPr>
                <w:sz w:val="20"/>
              </w:rPr>
              <w:t>WFSF-done.csv</w:t>
            </w:r>
          </w:p>
        </w:tc>
        <w:tc>
          <w:tcPr>
            <w:tcW w:type="dxa" w:w="2880"/>
          </w:tcPr>
          <w:p>
            <w:r>
              <w:rPr>
                <w:sz w:val="20"/>
              </w:rPr>
              <w:t>4,122,487</w:t>
            </w:r>
          </w:p>
        </w:tc>
      </w:tr>
      <w:tr>
        <w:tc>
          <w:tcPr>
            <w:tcW w:type="dxa" w:w="2880"/>
          </w:tcPr>
          <w:p>
            <w:r>
              <w:rPr>
                <w:sz w:val="20"/>
              </w:rPr>
              <w:t>Beer (BER)</w:t>
            </w:r>
          </w:p>
        </w:tc>
        <w:tc>
          <w:tcPr>
            <w:tcW w:type="dxa" w:w="2880"/>
          </w:tcPr>
          <w:p>
            <w:r>
              <w:rPr>
                <w:sz w:val="20"/>
              </w:rPr>
              <w:t>DONE-WBER.csv</w:t>
            </w:r>
          </w:p>
        </w:tc>
        <w:tc>
          <w:tcPr>
            <w:tcW w:type="dxa" w:w="2880"/>
          </w:tcPr>
          <w:p>
            <w:r>
              <w:rPr>
                <w:sz w:val="20"/>
              </w:rPr>
              <w:t>3,990,672</w:t>
            </w:r>
          </w:p>
        </w:tc>
      </w:tr>
      <w:tr>
        <w:tc>
          <w:tcPr>
            <w:tcW w:type="dxa" w:w="2880"/>
          </w:tcPr>
          <w:p>
            <w:r>
              <w:rPr>
                <w:sz w:val="20"/>
              </w:rPr>
              <w:t>Dish Detergent (DID)</w:t>
            </w:r>
          </w:p>
        </w:tc>
        <w:tc>
          <w:tcPr>
            <w:tcW w:type="dxa" w:w="2880"/>
          </w:tcPr>
          <w:p>
            <w:r>
              <w:rPr>
                <w:sz w:val="20"/>
              </w:rPr>
              <w:t>WDID-Done.csv</w:t>
            </w:r>
          </w:p>
        </w:tc>
        <w:tc>
          <w:tcPr>
            <w:tcW w:type="dxa" w:w="2880"/>
          </w:tcPr>
          <w:p>
            <w:r>
              <w:rPr>
                <w:sz w:val="20"/>
              </w:rPr>
              <w:t>3,838,182</w:t>
            </w:r>
          </w:p>
        </w:tc>
      </w:tr>
      <w:tr>
        <w:tc>
          <w:tcPr>
            <w:tcW w:type="dxa" w:w="2880"/>
          </w:tcPr>
          <w:p>
            <w:r>
              <w:rPr>
                <w:sz w:val="20"/>
              </w:rPr>
              <w:t>Canned Tuna (TNA)</w:t>
            </w:r>
          </w:p>
        </w:tc>
        <w:tc>
          <w:tcPr>
            <w:tcW w:type="dxa" w:w="2880"/>
          </w:tcPr>
          <w:p>
            <w:r>
              <w:rPr>
                <w:sz w:val="20"/>
              </w:rPr>
              <w:t>WTNA_done.csv</w:t>
            </w:r>
          </w:p>
        </w:tc>
        <w:tc>
          <w:tcPr>
            <w:tcW w:type="dxa" w:w="2880"/>
          </w:tcPr>
          <w:p>
            <w:r>
              <w:rPr>
                <w:sz w:val="20"/>
              </w:rPr>
              <w:t>3,763,229</w:t>
            </w:r>
          </w:p>
        </w:tc>
      </w:tr>
      <w:tr>
        <w:tc>
          <w:tcPr>
            <w:tcW w:type="dxa" w:w="2880"/>
          </w:tcPr>
          <w:p>
            <w:r>
              <w:rPr>
                <w:sz w:val="20"/>
              </w:rPr>
              <w:t>Crackers (CRA)</w:t>
            </w:r>
          </w:p>
        </w:tc>
        <w:tc>
          <w:tcPr>
            <w:tcW w:type="dxa" w:w="2880"/>
          </w:tcPr>
          <w:p>
            <w:r>
              <w:rPr>
                <w:sz w:val="20"/>
              </w:rPr>
              <w:t>Done-WCRA.csv</w:t>
            </w:r>
          </w:p>
        </w:tc>
        <w:tc>
          <w:tcPr>
            <w:tcW w:type="dxa" w:w="2880"/>
          </w:tcPr>
          <w:p>
            <w:r>
              <w:rPr>
                <w:sz w:val="20"/>
              </w:rPr>
              <w:t>3,624,688</w:t>
            </w:r>
          </w:p>
        </w:tc>
      </w:tr>
      <w:tr>
        <w:tc>
          <w:tcPr>
            <w:tcW w:type="dxa" w:w="2880"/>
          </w:tcPr>
          <w:p>
            <w:r>
              <w:rPr>
                <w:sz w:val="20"/>
              </w:rPr>
              <w:t>Soaps (SOA)</w:t>
            </w:r>
          </w:p>
        </w:tc>
        <w:tc>
          <w:tcPr>
            <w:tcW w:type="dxa" w:w="2880"/>
          </w:tcPr>
          <w:p>
            <w:r>
              <w:rPr>
                <w:sz w:val="20"/>
              </w:rPr>
              <w:t>WSOA.csv</w:t>
            </w:r>
          </w:p>
        </w:tc>
        <w:tc>
          <w:tcPr>
            <w:tcW w:type="dxa" w:w="2880"/>
          </w:tcPr>
          <w:p>
            <w:r>
              <w:rPr>
                <w:sz w:val="20"/>
              </w:rPr>
              <w:t>3,310,695</w:t>
            </w:r>
          </w:p>
        </w:tc>
      </w:tr>
      <w:tr>
        <w:tc>
          <w:tcPr>
            <w:tcW w:type="dxa" w:w="2880"/>
          </w:tcPr>
          <w:p>
            <w:r>
              <w:rPr>
                <w:sz w:val="20"/>
              </w:rPr>
              <w:t>Frozen Juices (FRJ)</w:t>
            </w:r>
          </w:p>
        </w:tc>
        <w:tc>
          <w:tcPr>
            <w:tcW w:type="dxa" w:w="2880"/>
          </w:tcPr>
          <w:p>
            <w:r>
              <w:rPr>
                <w:sz w:val="20"/>
              </w:rPr>
              <w:t>WFRJ.csv</w:t>
            </w:r>
          </w:p>
        </w:tc>
        <w:tc>
          <w:tcPr>
            <w:tcW w:type="dxa" w:w="2880"/>
          </w:tcPr>
          <w:p>
            <w:r>
              <w:rPr>
                <w:sz w:val="20"/>
              </w:rPr>
              <w:t>3,156,545</w:t>
            </w:r>
          </w:p>
        </w:tc>
      </w:tr>
      <w:tr>
        <w:tc>
          <w:tcPr>
            <w:tcW w:type="dxa" w:w="2880"/>
          </w:tcPr>
          <w:p>
            <w:r>
              <w:rPr>
                <w:sz w:val="20"/>
              </w:rPr>
              <w:t>Grooming (GRO)</w:t>
            </w:r>
          </w:p>
        </w:tc>
        <w:tc>
          <w:tcPr>
            <w:tcW w:type="dxa" w:w="2880"/>
          </w:tcPr>
          <w:p>
            <w:r>
              <w:rPr>
                <w:sz w:val="20"/>
              </w:rPr>
              <w:t>WGRO.csv</w:t>
            </w:r>
          </w:p>
        </w:tc>
        <w:tc>
          <w:tcPr>
            <w:tcW w:type="dxa" w:w="2880"/>
          </w:tcPr>
          <w:p>
            <w:r>
              <w:rPr>
                <w:sz w:val="20"/>
              </w:rPr>
              <w:t>2,016,291</w:t>
            </w:r>
          </w:p>
        </w:tc>
      </w:tr>
      <w:tr>
        <w:tc>
          <w:tcPr>
            <w:tcW w:type="dxa" w:w="2880"/>
          </w:tcPr>
          <w:p>
            <w:r>
              <w:rPr>
                <w:sz w:val="20"/>
              </w:rPr>
              <w:t>Bath Soap (BAT)</w:t>
            </w:r>
          </w:p>
        </w:tc>
        <w:tc>
          <w:tcPr>
            <w:tcW w:type="dxa" w:w="2880"/>
          </w:tcPr>
          <w:p>
            <w:r>
              <w:rPr>
                <w:sz w:val="20"/>
              </w:rPr>
              <w:t>DONE-WBAT.csv</w:t>
            </w:r>
          </w:p>
        </w:tc>
        <w:tc>
          <w:tcPr>
            <w:tcW w:type="dxa" w:w="2880"/>
          </w:tcPr>
          <w:p>
            <w:r>
              <w:rPr>
                <w:sz w:val="20"/>
              </w:rPr>
              <w:t>1,644,557</w:t>
            </w:r>
          </w:p>
        </w:tc>
      </w:tr>
      <w:tr>
        <w:tc>
          <w:tcPr>
            <w:tcW w:type="dxa" w:w="2880"/>
          </w:tcPr>
          <w:p>
            <w:r>
              <w:rPr>
                <w:sz w:val="20"/>
              </w:rPr>
              <w:t>Toilet Tissue (TTI)</w:t>
            </w:r>
          </w:p>
        </w:tc>
        <w:tc>
          <w:tcPr>
            <w:tcW w:type="dxa" w:w="2880"/>
          </w:tcPr>
          <w:p>
            <w:r>
              <w:rPr>
                <w:sz w:val="20"/>
              </w:rPr>
              <w:t>WTTI.csv</w:t>
            </w:r>
          </w:p>
        </w:tc>
        <w:tc>
          <w:tcPr>
            <w:tcW w:type="dxa" w:w="2880"/>
          </w:tcPr>
          <w:p>
            <w:r>
              <w:rPr>
                <w:sz w:val="20"/>
              </w:rPr>
              <w:t>1,627,284</w:t>
            </w:r>
          </w:p>
        </w:tc>
      </w:tr>
      <w:tr>
        <w:tc>
          <w:tcPr>
            <w:tcW w:type="dxa" w:w="2880"/>
          </w:tcPr>
          <w:p>
            <w:r>
              <w:rPr>
                <w:sz w:val="20"/>
              </w:rPr>
              <w:t>Front End Candies (FEC)</w:t>
            </w:r>
          </w:p>
        </w:tc>
        <w:tc>
          <w:tcPr>
            <w:tcW w:type="dxa" w:w="2880"/>
          </w:tcPr>
          <w:p>
            <w:r>
              <w:rPr>
                <w:sz w:val="20"/>
              </w:rPr>
              <w:t>WFEC.csv</w:t>
            </w:r>
          </w:p>
        </w:tc>
        <w:tc>
          <w:tcPr>
            <w:tcW w:type="dxa" w:w="2880"/>
          </w:tcPr>
          <w:p>
            <w:r>
              <w:rPr>
                <w:sz w:val="20"/>
              </w:rPr>
              <w:t>797,921</w:t>
            </w:r>
          </w:p>
        </w:tc>
      </w:tr>
      <w:tr>
        <w:tc>
          <w:tcPr>
            <w:tcW w:type="dxa" w:w="2880"/>
          </w:tcPr>
          <w:p>
            <w:r>
              <w:rPr>
                <w:sz w:val="20"/>
              </w:rPr>
              <w:t>Frozen Dinners (FRD)</w:t>
            </w:r>
          </w:p>
        </w:tc>
        <w:tc>
          <w:tcPr>
            <w:tcW w:type="dxa" w:w="2880"/>
          </w:tcPr>
          <w:p>
            <w:r>
              <w:rPr>
                <w:sz w:val="20"/>
              </w:rPr>
              <w:t>WFRD.csv</w:t>
            </w:r>
          </w:p>
        </w:tc>
        <w:tc>
          <w:tcPr>
            <w:tcW w:type="dxa" w:w="2880"/>
          </w:tcPr>
          <w:p>
            <w:r>
              <w:rPr>
                <w:sz w:val="20"/>
              </w:rPr>
              <w:t>562,715</w:t>
            </w:r>
          </w:p>
        </w:tc>
      </w:tr>
    </w:tbl>
    <w:p/>
    <w:p>
      <w:pPr>
        <w:jc w:val="center"/>
      </w:pPr>
      <w:r>
        <w:rPr>
          <w:i/>
          <w:color w:val="595659"/>
          <w:sz w:val="18"/>
        </w:rPr>
        <w:t>Table 2: Movement files inventory , 24 files, ~134.9M total rows</w:t>
      </w:r>
    </w:p>
    <w:p>
      <w:pPr>
        <w:pStyle w:val="Heading3"/>
      </w:pPr>
      <w:r>
        <w:rPr>
          <w:color w:val="2F5496"/>
        </w:rPr>
        <w:t>B. UPC Files (Product Master Data)</w:t>
      </w:r>
    </w:p>
    <w:p>
      <w:r>
        <w:t>The UPC files contain one record for each UPC in a category, with information about product name, size, commodity code, and case pack quantity. There are 28 files with approximately 14,000 total UPCs.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Data Type</w:t>
            </w:r>
          </w:p>
        </w:tc>
        <w:tc>
          <w:tcPr>
            <w:tcW w:type="dxa" w:w="2880"/>
          </w:tcPr>
          <w:p>
            <w:r>
              <w:rPr>
                <w:b/>
                <w:sz w:val="20"/>
              </w:rPr>
              <w:t>Description</w:t>
            </w:r>
          </w:p>
        </w:tc>
      </w:tr>
      <w:tr>
        <w:tc>
          <w:tcPr>
            <w:tcW w:type="dxa" w:w="2880"/>
          </w:tcPr>
          <w:p>
            <w:r>
              <w:rPr>
                <w:sz w:val="20"/>
              </w:rPr>
              <w:t>COM_CODE</w:t>
            </w:r>
          </w:p>
        </w:tc>
        <w:tc>
          <w:tcPr>
            <w:tcW w:type="dxa" w:w="2880"/>
          </w:tcPr>
          <w:p>
            <w:r>
              <w:rPr>
                <w:sz w:val="20"/>
              </w:rPr>
              <w:t>Integer</w:t>
            </w:r>
          </w:p>
        </w:tc>
        <w:tc>
          <w:tcPr>
            <w:tcW w:type="dxa" w:w="2880"/>
          </w:tcPr>
          <w:p>
            <w:r>
              <w:rPr>
                <w:sz w:val="20"/>
              </w:rPr>
              <w:t>Commodity/company code (brand/manufacturer grouping)</w:t>
            </w:r>
          </w:p>
        </w:tc>
      </w:tr>
      <w:tr>
        <w:tc>
          <w:tcPr>
            <w:tcW w:type="dxa" w:w="2880"/>
          </w:tcPr>
          <w:p>
            <w:r>
              <w:rPr>
                <w:sz w:val="20"/>
              </w:rPr>
              <w:t>UPC</w:t>
            </w:r>
          </w:p>
        </w:tc>
        <w:tc>
          <w:tcPr>
            <w:tcW w:type="dxa" w:w="2880"/>
          </w:tcPr>
          <w:p>
            <w:r>
              <w:rPr>
                <w:sz w:val="20"/>
              </w:rPr>
              <w:t>Integer</w:t>
            </w:r>
          </w:p>
        </w:tc>
        <w:tc>
          <w:tcPr>
            <w:tcW w:type="dxa" w:w="2880"/>
          </w:tcPr>
          <w:p>
            <w:r>
              <w:rPr>
                <w:sz w:val="20"/>
              </w:rPr>
              <w:t>Universal Product Code (join key to Movement files)</w:t>
            </w:r>
          </w:p>
        </w:tc>
      </w:tr>
      <w:tr>
        <w:tc>
          <w:tcPr>
            <w:tcW w:type="dxa" w:w="2880"/>
          </w:tcPr>
          <w:p>
            <w:r>
              <w:rPr>
                <w:sz w:val="20"/>
              </w:rPr>
              <w:t>DESCRIP</w:t>
            </w:r>
          </w:p>
        </w:tc>
        <w:tc>
          <w:tcPr>
            <w:tcW w:type="dxa" w:w="2880"/>
          </w:tcPr>
          <w:p>
            <w:r>
              <w:rPr>
                <w:sz w:val="20"/>
              </w:rPr>
              <w:t>Text</w:t>
            </w:r>
          </w:p>
        </w:tc>
        <w:tc>
          <w:tcPr>
            <w:tcW w:type="dxa" w:w="2880"/>
          </w:tcPr>
          <w:p>
            <w:r>
              <w:rPr>
                <w:sz w:val="20"/>
              </w:rPr>
              <w:t>Product description (truncated to ~20 characters)</w:t>
            </w:r>
          </w:p>
        </w:tc>
      </w:tr>
      <w:tr>
        <w:tc>
          <w:tcPr>
            <w:tcW w:type="dxa" w:w="2880"/>
          </w:tcPr>
          <w:p>
            <w:r>
              <w:rPr>
                <w:sz w:val="20"/>
              </w:rPr>
              <w:t>SIZE</w:t>
            </w:r>
          </w:p>
        </w:tc>
        <w:tc>
          <w:tcPr>
            <w:tcW w:type="dxa" w:w="2880"/>
          </w:tcPr>
          <w:p>
            <w:r>
              <w:rPr>
                <w:sz w:val="20"/>
              </w:rPr>
              <w:t>Text</w:t>
            </w:r>
          </w:p>
        </w:tc>
        <w:tc>
          <w:tcPr>
            <w:tcW w:type="dxa" w:w="2880"/>
          </w:tcPr>
          <w:p>
            <w:r>
              <w:rPr>
                <w:sz w:val="20"/>
              </w:rPr>
              <w:t>Package size (e.g., "7 OZ", "12 OZ", "1 CT")</w:t>
            </w:r>
          </w:p>
        </w:tc>
      </w:tr>
      <w:tr>
        <w:tc>
          <w:tcPr>
            <w:tcW w:type="dxa" w:w="2880"/>
          </w:tcPr>
          <w:p>
            <w:r>
              <w:rPr>
                <w:sz w:val="20"/>
              </w:rPr>
              <w:t>CASE</w:t>
            </w:r>
          </w:p>
        </w:tc>
        <w:tc>
          <w:tcPr>
            <w:tcW w:type="dxa" w:w="2880"/>
          </w:tcPr>
          <w:p>
            <w:r>
              <w:rPr>
                <w:sz w:val="20"/>
              </w:rPr>
              <w:t>Integer</w:t>
            </w:r>
          </w:p>
        </w:tc>
        <w:tc>
          <w:tcPr>
            <w:tcW w:type="dxa" w:w="2880"/>
          </w:tcPr>
          <w:p>
            <w:r>
              <w:rPr>
                <w:sz w:val="20"/>
              </w:rPr>
              <w:t>Case pack quantity</w:t>
            </w:r>
          </w:p>
        </w:tc>
      </w:tr>
      <w:tr>
        <w:tc>
          <w:tcPr>
            <w:tcW w:type="dxa" w:w="2880"/>
          </w:tcPr>
          <w:p>
            <w:r>
              <w:rPr>
                <w:sz w:val="20"/>
              </w:rPr>
              <w:t>NITEM</w:t>
            </w:r>
          </w:p>
        </w:tc>
        <w:tc>
          <w:tcPr>
            <w:tcW w:type="dxa" w:w="2880"/>
          </w:tcPr>
          <w:p>
            <w:r>
              <w:rPr>
                <w:sz w:val="20"/>
              </w:rPr>
              <w:t>Integer</w:t>
            </w:r>
          </w:p>
        </w:tc>
        <w:tc>
          <w:tcPr>
            <w:tcW w:type="dxa" w:w="2880"/>
          </w:tcPr>
          <w:p>
            <w:r>
              <w:rPr>
                <w:sz w:val="20"/>
              </w:rPr>
              <w:t>Internal DFF item number</w:t>
            </w:r>
          </w:p>
        </w:tc>
      </w:tr>
    </w:tbl>
    <w:p/>
    <w:p>
      <w:pPr>
        <w:jc w:val="center"/>
      </w:pPr>
      <w:r>
        <w:rPr>
          <w:i/>
          <w:color w:val="595659"/>
          <w:sz w:val="18"/>
        </w:rPr>
        <w:t>Table 3: UPC file column metadata</w:t>
      </w:r>
    </w:p>
    <w:p>
      <w:pPr>
        <w:pStyle w:val="Heading3"/>
      </w:pPr>
      <w:r>
        <w:rPr>
          <w:color w:val="2F5496"/>
        </w:rPr>
        <w:t>C. Customer Count File (CCOUNT)</w:t>
      </w:r>
    </w:p>
    <w:p>
      <w:r>
        <w:t>The Customer Count file contains store-level traffic data with 327,045 rows and 61 columns. Key columns include STORE, WEEK, CUSTCOUN (total customer count), and department-level counts (GROCERY, DAIRY, FROZEN, MEAT, PRODUCE, BAKERY, DELI, PHARMACY). The file also contains coupon redemption counts by department. Notable data quality issue: the DATE column is corrupted and contains garbled encoding, requiring the use of WEEK numbers for time analysis.</w:t>
      </w:r>
    </w:p>
    <w:p>
      <w:pPr>
        <w:pStyle w:val="Heading3"/>
      </w:pPr>
      <w:r>
        <w:rPr>
          <w:color w:val="2F5496"/>
        </w:rPr>
        <w:t>D. Demographics File (DEMO)</w:t>
      </w:r>
    </w:p>
    <w:p>
      <w:r>
        <w:t>The Demographics file contains store-level attributes and census demographics with 108 rows (one per store) and 510 columns. Key columns include: STORE, NAME, CITY, ZIP (location); ZONE (pricing zone, 1-15), URBAN (binary flag), WEEKVOL (weekly volume); INCOME, EDUC, POVERTY, DENSITY (demographics); HSIZEAVG (household size); and PRICLOW/PRICMED/PRICHIGH (pricing tier flags). Note: 23 stores have null NAME and CITY values, and the first row uses dots (.) as placeholders for missing values.</w:t>
      </w:r>
    </w:p>
    <w:p>
      <w:pPr>
        <w:pStyle w:val="Heading3"/>
      </w:pPr>
      <w:r>
        <w:rPr>
          <w:color w:val="2F5496"/>
        </w:rPr>
        <w:t>E. Key Relationships Among Data Files</w:t>
      </w:r>
    </w:p>
    <w:p>
      <w:r>
        <w:t>The OLTP source files are connected through the following join keys: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Relationship</w:t>
            </w:r>
          </w:p>
        </w:tc>
        <w:tc>
          <w:tcPr>
            <w:tcW w:type="dxa" w:w="2880"/>
          </w:tcPr>
          <w:p>
            <w:r>
              <w:rPr>
                <w:b/>
                <w:sz w:val="20"/>
              </w:rPr>
              <w:t>Join Key</w:t>
            </w:r>
          </w:p>
        </w:tc>
        <w:tc>
          <w:tcPr>
            <w:tcW w:type="dxa" w:w="2880"/>
          </w:tcPr>
          <w:p>
            <w:r>
              <w:rPr>
                <w:b/>
                <w:sz w:val="20"/>
              </w:rPr>
              <w:t>Description</w:t>
            </w:r>
          </w:p>
        </w:tc>
      </w:tr>
      <w:tr>
        <w:tc>
          <w:tcPr>
            <w:tcW w:type="dxa" w:w="2880"/>
          </w:tcPr>
          <w:p>
            <w:r>
              <w:rPr>
                <w:sz w:val="20"/>
              </w:rPr>
              <w:t>Movement → UPC</w:t>
            </w:r>
          </w:p>
        </w:tc>
        <w:tc>
          <w:tcPr>
            <w:tcW w:type="dxa" w:w="2880"/>
          </w:tcPr>
          <w:p>
            <w:r>
              <w:rPr>
                <w:sz w:val="20"/>
              </w:rPr>
              <w:t>UPC</w:t>
            </w:r>
          </w:p>
        </w:tc>
        <w:tc>
          <w:tcPr>
            <w:tcW w:type="dxa" w:w="2880"/>
          </w:tcPr>
          <w:p>
            <w:r>
              <w:rPr>
                <w:sz w:val="20"/>
              </w:rPr>
              <w:t>Links weekly sales to product details (name, size, brand)</w:t>
            </w:r>
          </w:p>
        </w:tc>
      </w:tr>
      <w:tr>
        <w:tc>
          <w:tcPr>
            <w:tcW w:type="dxa" w:w="2880"/>
          </w:tcPr>
          <w:p>
            <w:r>
              <w:rPr>
                <w:sz w:val="20"/>
              </w:rPr>
              <w:t>Movement → DEMO</w:t>
            </w:r>
          </w:p>
        </w:tc>
        <w:tc>
          <w:tcPr>
            <w:tcW w:type="dxa" w:w="2880"/>
          </w:tcPr>
          <w:p>
            <w:r>
              <w:rPr>
                <w:sz w:val="20"/>
              </w:rPr>
              <w:t>STORE</w:t>
            </w:r>
          </w:p>
        </w:tc>
        <w:tc>
          <w:tcPr>
            <w:tcW w:type="dxa" w:w="2880"/>
          </w:tcPr>
          <w:p>
            <w:r>
              <w:rPr>
                <w:sz w:val="20"/>
              </w:rPr>
              <w:t>Links sales data to store demographics and location</w:t>
            </w:r>
          </w:p>
        </w:tc>
      </w:tr>
      <w:tr>
        <w:tc>
          <w:tcPr>
            <w:tcW w:type="dxa" w:w="2880"/>
          </w:tcPr>
          <w:p>
            <w:r>
              <w:rPr>
                <w:sz w:val="20"/>
              </w:rPr>
              <w:t>Movement → CCOUNT</w:t>
            </w:r>
          </w:p>
        </w:tc>
        <w:tc>
          <w:tcPr>
            <w:tcW w:type="dxa" w:w="2880"/>
          </w:tcPr>
          <w:p>
            <w:r>
              <w:rPr>
                <w:sz w:val="20"/>
              </w:rPr>
              <w:t>STORE + WEEK</w:t>
            </w:r>
          </w:p>
        </w:tc>
        <w:tc>
          <w:tcPr>
            <w:tcW w:type="dxa" w:w="2880"/>
          </w:tcPr>
          <w:p>
            <w:r>
              <w:rPr>
                <w:sz w:val="20"/>
              </w:rPr>
              <w:t>Links sales to customer traffic for the same store-week</w:t>
            </w:r>
          </w:p>
        </w:tc>
      </w:tr>
    </w:tbl>
    <w:p/>
    <w:p>
      <w:pPr>
        <w:jc w:val="center"/>
      </w:pPr>
      <w:r>
        <w:rPr>
          <w:i/>
          <w:color w:val="595659"/>
          <w:sz w:val="18"/>
        </w:rPr>
        <w:t>Table 4: Join key relationships among OLTP source files</w:t>
      </w:r>
    </w:p>
    <w:p>
      <w:pPr>
        <w:pStyle w:val="Heading3"/>
      </w:pPr>
      <w:r>
        <w:rPr>
          <w:color w:val="2F5496"/>
        </w:rPr>
        <w:t>F. Data Quality Issues Identified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Issue</w:t>
            </w:r>
          </w:p>
        </w:tc>
        <w:tc>
          <w:tcPr>
            <w:tcW w:type="dxa" w:w="2160"/>
          </w:tcPr>
          <w:p>
            <w:r>
              <w:rPr>
                <w:b/>
                <w:sz w:val="20"/>
              </w:rPr>
              <w:t>File(s)</w:t>
            </w:r>
          </w:p>
        </w:tc>
        <w:tc>
          <w:tcPr>
            <w:tcW w:type="dxa" w:w="2160"/>
          </w:tcPr>
          <w:p>
            <w:r>
              <w:rPr>
                <w:b/>
                <w:sz w:val="20"/>
              </w:rPr>
              <w:t>Severity</w:t>
            </w:r>
          </w:p>
        </w:tc>
        <w:tc>
          <w:tcPr>
            <w:tcW w:type="dxa" w:w="2160"/>
          </w:tcPr>
          <w:p>
            <w:r>
              <w:rPr>
                <w:b/>
                <w:sz w:val="20"/>
              </w:rPr>
              <w:t>Impact</w:t>
            </w:r>
          </w:p>
        </w:tc>
      </w:tr>
      <w:tr>
        <w:tc>
          <w:tcPr>
            <w:tcW w:type="dxa" w:w="2160"/>
          </w:tcPr>
          <w:p>
            <w:r>
              <w:rPr>
                <w:sz w:val="20"/>
              </w:rPr>
              <w:t>DATE column corrupted</w:t>
            </w:r>
          </w:p>
        </w:tc>
        <w:tc>
          <w:tcPr>
            <w:tcW w:type="dxa" w:w="2160"/>
          </w:tcPr>
          <w:p>
            <w:r>
              <w:rPr>
                <w:sz w:val="20"/>
              </w:rPr>
              <w:t>CCOUNT</w:t>
            </w:r>
          </w:p>
        </w:tc>
        <w:tc>
          <w:tcPr>
            <w:tcW w:type="dxa" w:w="2160"/>
          </w:tcPr>
          <w:p>
            <w:r>
              <w:rPr>
                <w:sz w:val="20"/>
              </w:rPr>
              <w:t>High</w:t>
            </w:r>
          </w:p>
        </w:tc>
        <w:tc>
          <w:tcPr>
            <w:tcW w:type="dxa" w:w="2160"/>
          </w:tcPr>
          <w:p>
            <w:r>
              <w:rPr>
                <w:sz w:val="20"/>
              </w:rPr>
              <w:t>Cannot derive calendar dates; must use WEEK mapping</w:t>
            </w:r>
          </w:p>
        </w:tc>
      </w:tr>
      <w:tr>
        <w:tc>
          <w:tcPr>
            <w:tcW w:type="dxa" w:w="2160"/>
          </w:tcPr>
          <w:p>
            <w:r>
              <w:rPr>
                <w:sz w:val="20"/>
              </w:rPr>
              <w:t>Dots (.) as missing values</w:t>
            </w:r>
          </w:p>
        </w:tc>
        <w:tc>
          <w:tcPr>
            <w:tcW w:type="dxa" w:w="2160"/>
          </w:tcPr>
          <w:p>
            <w:r>
              <w:rPr>
                <w:sz w:val="20"/>
              </w:rPr>
              <w:t>CCOUNT, DEMO</w:t>
            </w:r>
          </w:p>
        </w:tc>
        <w:tc>
          <w:tcPr>
            <w:tcW w:type="dxa" w:w="2160"/>
          </w:tcPr>
          <w:p>
            <w:r>
              <w:rPr>
                <w:sz w:val="20"/>
              </w:rPr>
              <w:t>Medium</w:t>
            </w:r>
          </w:p>
        </w:tc>
        <w:tc>
          <w:tcPr>
            <w:tcW w:type="dxa" w:w="2160"/>
          </w:tcPr>
          <w:p>
            <w:r>
              <w:rPr>
                <w:sz w:val="20"/>
              </w:rPr>
              <w:t>Columns read as text; requires cleaning</w:t>
            </w:r>
          </w:p>
        </w:tc>
      </w:tr>
      <w:tr>
        <w:tc>
          <w:tcPr>
            <w:tcW w:type="dxa" w:w="2160"/>
          </w:tcPr>
          <w:p>
            <w:r>
              <w:rPr>
                <w:sz w:val="20"/>
              </w:rPr>
              <w:t>SALE mostly blank (~90%)</w:t>
            </w:r>
          </w:p>
        </w:tc>
        <w:tc>
          <w:tcPr>
            <w:tcW w:type="dxa" w:w="2160"/>
          </w:tcPr>
          <w:p>
            <w:r>
              <w:rPr>
                <w:sz w:val="20"/>
              </w:rPr>
              <w:t>Movement</w:t>
            </w:r>
          </w:p>
        </w:tc>
        <w:tc>
          <w:tcPr>
            <w:tcW w:type="dxa" w:w="2160"/>
          </w:tcPr>
          <w:p>
            <w:r>
              <w:rPr>
                <w:sz w:val="20"/>
              </w:rPr>
              <w:t>Medium</w:t>
            </w:r>
          </w:p>
        </w:tc>
        <w:tc>
          <w:tcPr>
            <w:tcW w:type="dxa" w:w="2160"/>
          </w:tcPr>
          <w:p>
            <w:r>
              <w:rPr>
                <w:sz w:val="20"/>
              </w:rPr>
              <w:t>Promotion analysis limited to ~10% of rows</w:t>
            </w:r>
          </w:p>
        </w:tc>
      </w:tr>
      <w:tr>
        <w:tc>
          <w:tcPr>
            <w:tcW w:type="dxa" w:w="2160"/>
          </w:tcPr>
          <w:p>
            <w:r>
              <w:rPr>
                <w:sz w:val="20"/>
              </w:rPr>
              <w:t>PRICE = 0 in some rows</w:t>
            </w:r>
          </w:p>
        </w:tc>
        <w:tc>
          <w:tcPr>
            <w:tcW w:type="dxa" w:w="2160"/>
          </w:tcPr>
          <w:p>
            <w:r>
              <w:rPr>
                <w:sz w:val="20"/>
              </w:rPr>
              <w:t>Movement</w:t>
            </w:r>
          </w:p>
        </w:tc>
        <w:tc>
          <w:tcPr>
            <w:tcW w:type="dxa" w:w="2160"/>
          </w:tcPr>
          <w:p>
            <w:r>
              <w:rPr>
                <w:sz w:val="20"/>
              </w:rPr>
              <w:t>Medium</w:t>
            </w:r>
          </w:p>
        </w:tc>
        <w:tc>
          <w:tcPr>
            <w:tcW w:type="dxa" w:w="2160"/>
          </w:tcPr>
          <w:p>
            <w:r>
              <w:rPr>
                <w:sz w:val="20"/>
              </w:rPr>
              <w:t>Must filter; skews revenue calculations</w:t>
            </w:r>
          </w:p>
        </w:tc>
      </w:tr>
      <w:tr>
        <w:tc>
          <w:tcPr>
            <w:tcW w:type="dxa" w:w="2160"/>
          </w:tcPr>
          <w:p>
            <w:r>
              <w:rPr>
                <w:sz w:val="20"/>
              </w:rPr>
              <w:t>Non-UTF-8 encoding</w:t>
            </w:r>
          </w:p>
        </w:tc>
        <w:tc>
          <w:tcPr>
            <w:tcW w:type="dxa" w:w="2160"/>
          </w:tcPr>
          <w:p>
            <w:r>
              <w:rPr>
                <w:sz w:val="20"/>
              </w:rPr>
              <w:t>UPC, CCOUNT</w:t>
            </w:r>
          </w:p>
        </w:tc>
        <w:tc>
          <w:tcPr>
            <w:tcW w:type="dxa" w:w="2160"/>
          </w:tcPr>
          <w:p>
            <w:r>
              <w:rPr>
                <w:sz w:val="20"/>
              </w:rPr>
              <w:t>Low</w:t>
            </w:r>
          </w:p>
        </w:tc>
        <w:tc>
          <w:tcPr>
            <w:tcW w:type="dxa" w:w="2160"/>
          </w:tcPr>
          <w:p>
            <w:r>
              <w:rPr>
                <w:sz w:val="20"/>
              </w:rPr>
              <w:t>Files require latin-1 or cp1252 encoding</w:t>
            </w:r>
          </w:p>
        </w:tc>
      </w:tr>
      <w:tr>
        <w:tc>
          <w:tcPr>
            <w:tcW w:type="dxa" w:w="2160"/>
          </w:tcPr>
          <w:p>
            <w:r>
              <w:rPr>
                <w:sz w:val="20"/>
              </w:rPr>
              <w:t>WEEK proprietary numbering</w:t>
            </w:r>
          </w:p>
        </w:tc>
        <w:tc>
          <w:tcPr>
            <w:tcW w:type="dxa" w:w="2160"/>
          </w:tcPr>
          <w:p>
            <w:r>
              <w:rPr>
                <w:sz w:val="20"/>
              </w:rPr>
              <w:t>All</w:t>
            </w:r>
          </w:p>
        </w:tc>
        <w:tc>
          <w:tcPr>
            <w:tcW w:type="dxa" w:w="2160"/>
          </w:tcPr>
          <w:p>
            <w:r>
              <w:rPr>
                <w:sz w:val="20"/>
              </w:rPr>
              <w:t>High</w:t>
            </w:r>
          </w:p>
        </w:tc>
        <w:tc>
          <w:tcPr>
            <w:tcW w:type="dxa" w:w="2160"/>
          </w:tcPr>
          <w:p>
            <w:r>
              <w:rPr>
                <w:sz w:val="20"/>
              </w:rPr>
              <w:t>Week 1 ≈ Sep 14, 1989; requires date mapping formula</w:t>
            </w:r>
          </w:p>
        </w:tc>
      </w:tr>
      <w:tr>
        <w:tc>
          <w:tcPr>
            <w:tcW w:type="dxa" w:w="2160"/>
          </w:tcPr>
          <w:p>
            <w:r>
              <w:rPr>
                <w:sz w:val="20"/>
              </w:rPr>
              <w:t>23 null NAME/CITY values</w:t>
            </w:r>
          </w:p>
        </w:tc>
        <w:tc>
          <w:tcPr>
            <w:tcW w:type="dxa" w:w="2160"/>
          </w:tcPr>
          <w:p>
            <w:r>
              <w:rPr>
                <w:sz w:val="20"/>
              </w:rPr>
              <w:t>DEMO</w:t>
            </w:r>
          </w:p>
        </w:tc>
        <w:tc>
          <w:tcPr>
            <w:tcW w:type="dxa" w:w="2160"/>
          </w:tcPr>
          <w:p>
            <w:r>
              <w:rPr>
                <w:sz w:val="20"/>
              </w:rPr>
              <w:t>Low</w:t>
            </w:r>
          </w:p>
        </w:tc>
        <w:tc>
          <w:tcPr>
            <w:tcW w:type="dxa" w:w="2160"/>
          </w:tcPr>
          <w:p>
            <w:r>
              <w:rPr>
                <w:sz w:val="20"/>
              </w:rPr>
              <w:t>ZIP and coordinates still available</w:t>
            </w:r>
          </w:p>
        </w:tc>
      </w:tr>
    </w:tbl>
    <w:p/>
    <w:p>
      <w:pPr>
        <w:jc w:val="center"/>
      </w:pPr>
      <w:r>
        <w:rPr>
          <w:i/>
          <w:color w:val="595659"/>
          <w:sz w:val="18"/>
        </w:rPr>
        <w:t>Table 5: Data quality issues identified across source files</w:t>
      </w:r>
    </w:p>
    <w:p>
      <w:r>
        <w:br w:type="page"/>
      </w:r>
    </w:p>
    <w:p>
      <w:pPr>
        <w:pStyle w:val="Heading2"/>
      </w:pPr>
      <w:r>
        <w:rPr>
          <w:color w:val="2F5496"/>
        </w:rPr>
        <w:t>2.3 Entity Relationship Diagram</w:t>
      </w:r>
    </w:p>
    <w:p>
      <w:r>
        <w:t>The following ERD shows the relationships among the four OLTP source file types in the DFF dataset. Movement files are the central transactional entity, linked to UPC (product details), DEMO (store demographics), and CCOUNT (customer traffic) through the join keys identified above.</w:t>
      </w:r>
    </w:p>
    <w:p>
      <w:pPr>
        <w:jc w:val="center"/>
      </w:pPr>
      <w:r>
        <w:drawing>
          <wp:inline xmlns:a="http://schemas.openxmlformats.org/drawingml/2006/main" xmlns:pic="http://schemas.openxmlformats.org/drawingml/2006/picture">
            <wp:extent cx="5029200" cy="3339534"/>
            <wp:docPr id="7" name="Picture 7"/>
            <wp:cNvGraphicFramePr>
              <a:graphicFrameLocks noChangeAspect="1"/>
            </wp:cNvGraphicFramePr>
            <a:graphic>
              <a:graphicData uri="http://schemas.openxmlformats.org/drawingml/2006/picture">
                <pic:pic>
                  <pic:nvPicPr>
                    <pic:cNvPr id="0" name="elaborate_erd.png"/>
                    <pic:cNvPicPr/>
                  </pic:nvPicPr>
                  <pic:blipFill>
                    <a:blip r:embed="rId15"/>
                    <a:stretch>
                      <a:fillRect/>
                    </a:stretch>
                  </pic:blipFill>
                  <pic:spPr>
                    <a:xfrm>
                      <a:off x="0" y="0"/>
                      <a:ext cx="5029200" cy="3339534"/>
                    </a:xfrm>
                    <a:prstGeom prst="rect"/>
                  </pic:spPr>
                </pic:pic>
              </a:graphicData>
            </a:graphic>
          </wp:inline>
        </w:drawing>
      </w:r>
    </w:p>
    <w:p>
      <w:pPr>
        <w:jc w:val="center"/>
      </w:pPr>
      <w:r>
        <w:rPr>
          <w:i/>
          <w:color w:val="595659"/>
          <w:sz w:val="18"/>
        </w:rPr>
        <w:t>Figure 7: Entity Relationship Diagram , DFF OLTP Source Files</w:t>
      </w:r>
    </w:p>
    <w:p>
      <w:r>
        <w:t>The Movement files serve as the primary fact data, recording weekly sales at the UPC-store-week grain. The UPC dimension provides product attributes (name, size, brand via COM_CODE). The DEMO dimension provides store-level demographics (zone, urban flag, income, density). The CCOUNT file provides customer traffic data that can be joined to Movement at the store-week level to analyze the relationship between foot traffic and sales performance.</w:t>
      </w:r>
    </w:p>
    <w:p>
      <w:r>
        <w:br w:type="page"/>
      </w:r>
    </w:p>
    <w:p>
      <w:pPr>
        <w:pStyle w:val="Heading1"/>
      </w:pPr>
      <w:r>
        <w:rPr>
          <w:color w:val="2F5496"/>
        </w:rPr>
        <w:t>3. Retail Subject Area Understanding</w:t>
      </w:r>
    </w:p>
    <w:p>
      <w:pPr>
        <w:pStyle w:val="Heading2"/>
      </w:pPr>
      <w:r>
        <w:rPr>
          <w:color w:val="2F5496"/>
        </w:rPr>
        <w:t>3.1 Literature Review</w:t>
      </w:r>
    </w:p>
    <w:p>
      <w:r>
        <w:t>To understand the retail domain problems relevant to DFF, we reviewed published research that specifically used the Dominick's dataset or addressed comparable retail analytics challenges. The following five papers inform our business question development.</w:t>
      </w:r>
    </w:p>
    <w:p>
      <w:pPr>
        <w:pStyle w:val="Heading3"/>
      </w:pPr>
      <w:r>
        <w:rPr>
          <w:color w:val="2F5496"/>
        </w:rPr>
        <w:t>Pricing Strategy and Zone Pricing</w:t>
      </w:r>
    </w:p>
    <w:p>
      <w:r>
        <w:t>One of the earliest studies using Dominick's scanner data showed that the chain followed a micro-marketing pricing strategy, where stores were grouped into high, medium, and low price tiers depending on the competitive landscape around each location. The authors found that fine-tuning prices by zone and category could lift profits by 3 to 5 percent without raising the average price a customer pays (Hoch et al., 1995. "Determinants of Store-Level Price Elasticity," Journal of Marketing Research, Vol. 32, No. 1, pp. 17-29). Our dataset carries 15 distinct pricing zones across 107 stores in the DEMO file, which gives us a strong basis for building business questions around cross-zone performance.</w:t>
      </w:r>
    </w:p>
    <w:p>
      <w:pPr>
        <w:pStyle w:val="Heading3"/>
      </w:pPr>
      <w:r>
        <w:rPr>
          <w:color w:val="2F5496"/>
        </w:rPr>
        <w:t>Promotion Effectiveness and Sales Lifts</w:t>
      </w:r>
    </w:p>
    <w:p>
      <w:r>
        <w:t>Another key finding from the DFF data is that grocery retailers tend to cut their margins during high-demand periods, even though shoppers are buying more. The result is that volume rises while per-unit profit shrinks, a trade-off that matters for how DFF sets promotional calendars (Chevalier et al., 2003. "Why Don't Prices Rise During Periods of Peak Demand? Evidence from Scanner Data," American Economic Review, Vol. 93, No. 1, pp. 15-37). Our own analysis of the dataset backs this up: promoted items in the Soft Drink category sell roughly 7.9 times more units than non-promoted ones, and Canned Soup sees a 3.4 times lift (see Section 2.1, Figures 3 and 9). These numbers confirm that promotion-related business questions are well grounded in the data.</w:t>
      </w:r>
    </w:p>
    <w:p>
      <w:pPr>
        <w:pStyle w:val="Heading3"/>
      </w:pPr>
      <w:r>
        <w:rPr>
          <w:color w:val="2F5496"/>
        </w:rPr>
        <w:t>Consumer Demand Patterns and Stockpiling</w:t>
      </w:r>
    </w:p>
    <w:p>
      <w:r>
        <w:t>Shoppers do not buy groceries at a steady rate. They watch for deals and stock up when prices drop, a pattern sometimes called stockpiling. One study of supermarket pricing cycles showed that this behavior creates sharp spikes in weekly sales whenever a promotion runs (Pesendorfer, 2002. "Retail Sales: A Study of Pricing Behavior in Supermarkets," Journal of Business, Vol. 75, No. 1, pp. 33-66). We see the same thing in our data: for Soft Drinks the average weekly MOVE is around 17 units, but a single product-store-week observation can reach as high as 4,637. Getting a handle on these demand swings is important for DFF's inventory planning, and it supports the time-series and trend analysis questions we propose below.</w:t>
      </w:r>
    </w:p>
    <w:p>
      <w:pPr>
        <w:pStyle w:val="Heading3"/>
      </w:pPr>
      <w:r>
        <w:rPr>
          <w:color w:val="2F5496"/>
        </w:rPr>
        <w:t>Brand Competition and Market Share</w:t>
      </w:r>
    </w:p>
    <w:p>
      <w:r>
        <w:t>When one brand in a grocery category goes on promotion, rival brands in the same aisle often lose share. A study of category-level pricing at a retail chain confirmed that a single brand's deal activity can shift meaningful sales volume away from competitors (Chintagunta, 2002. "Investigating Category Pricing Behavior at a Retail Chain," Journal of Marketing Research, Vol. 39, No. 2, pp. 141-154). This insight directly supports the cross-brand market share questions in our project, where we use the COM_CODE field in the UPC files as a proxy for the manufacturer or brand.</w:t>
      </w:r>
    </w:p>
    <w:p>
      <w:pPr>
        <w:pStyle w:val="Heading3"/>
      </w:pPr>
      <w:r>
        <w:rPr>
          <w:color w:val="2F5496"/>
        </w:rPr>
        <w:t>Store Location, Demographics, and Performance</w:t>
      </w:r>
    </w:p>
    <w:p>
      <w:r>
        <w:t>The neighborhoods around a grocery store matter. Income levels, household size, and education all shape how sensitive shoppers are to price changes, and those differences show up clearly in store-level sales (Montgomery, 1997. "Creating Micro-Marketing Pricing Strategies Using Supermarket Scanner Data," Marketing Science, Vol. 16, No. 4, pp. 315-337). The DFF demographics file records these exact variables for all 107 stores, which lets us tie store performance back to the community it serves. An early look at our data supports this: among Toothpaste category stores, the top performers are 73.9 percent urban, hinting that population density may matter more than household income for driving volume.</w:t>
      </w:r>
    </w:p>
    <w:p>
      <w:pPr>
        <w:pStyle w:val="Heading2"/>
      </w:pPr>
      <w:r>
        <w:rPr>
          <w:color w:val="2F5496"/>
        </w:rPr>
        <w:t>3.2 Relevant Retail Problems for DFF</w:t>
      </w:r>
    </w:p>
    <w:p>
      <w:r>
        <w:t>Based on the literature review, the following business challenges are most relevant for DFF: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Problem</w:t>
            </w:r>
          </w:p>
        </w:tc>
        <w:tc>
          <w:tcPr>
            <w:tcW w:type="dxa" w:w="2160"/>
          </w:tcPr>
          <w:p>
            <w:r>
              <w:rPr>
                <w:b/>
                <w:sz w:val="20"/>
              </w:rPr>
              <w:t>Relevance to DFF</w:t>
            </w:r>
          </w:p>
        </w:tc>
        <w:tc>
          <w:tcPr>
            <w:tcW w:type="dxa" w:w="2160"/>
          </w:tcPr>
          <w:p>
            <w:r>
              <w:rPr>
                <w:b/>
                <w:sz w:val="20"/>
              </w:rPr>
              <w:t>Related BQs</w:t>
            </w:r>
          </w:p>
        </w:tc>
      </w:tr>
      <w:tr>
        <w:tc>
          <w:tcPr>
            <w:tcW w:type="dxa" w:w="2160"/>
          </w:tcPr>
          <w:p>
            <w:r>
              <w:rPr>
                <w:sz w:val="20"/>
              </w:rPr>
              <w:t>1</w:t>
            </w:r>
          </w:p>
        </w:tc>
        <w:tc>
          <w:tcPr>
            <w:tcW w:type="dxa" w:w="2160"/>
          </w:tcPr>
          <w:p>
            <w:r>
              <w:rPr>
                <w:sz w:val="20"/>
              </w:rPr>
              <w:t>Promotion ROI measurement</w:t>
            </w:r>
          </w:p>
        </w:tc>
        <w:tc>
          <w:tcPr>
            <w:tcW w:type="dxa" w:w="2160"/>
          </w:tcPr>
          <w:p>
            <w:r>
              <w:rPr>
                <w:sz w:val="20"/>
              </w:rPr>
              <w:t>DFF runs Bonus Buys (B), Coupons (C), and Sales (S) across 24 categories</w:t>
            </w:r>
          </w:p>
        </w:tc>
        <w:tc>
          <w:tcPr>
            <w:tcW w:type="dxa" w:w="2160"/>
          </w:tcPr>
          <w:p>
            <w:r>
              <w:rPr>
                <w:sz w:val="20"/>
              </w:rPr>
              <w:t>E3, M1</w:t>
            </w:r>
          </w:p>
        </w:tc>
      </w:tr>
      <w:tr>
        <w:tc>
          <w:tcPr>
            <w:tcW w:type="dxa" w:w="2160"/>
          </w:tcPr>
          <w:p>
            <w:r>
              <w:rPr>
                <w:sz w:val="20"/>
              </w:rPr>
              <w:t>2</w:t>
            </w:r>
          </w:p>
        </w:tc>
        <w:tc>
          <w:tcPr>
            <w:tcW w:type="dxa" w:w="2160"/>
          </w:tcPr>
          <w:p>
            <w:r>
              <w:rPr>
                <w:sz w:val="20"/>
              </w:rPr>
              <w:t>Zone pricing optimization</w:t>
            </w:r>
          </w:p>
        </w:tc>
        <w:tc>
          <w:tcPr>
            <w:tcW w:type="dxa" w:w="2160"/>
          </w:tcPr>
          <w:p>
            <w:r>
              <w:rPr>
                <w:sz w:val="20"/>
              </w:rPr>
              <w:t>DFF uses 15 pricing zones across 107 stores</w:t>
            </w:r>
          </w:p>
        </w:tc>
        <w:tc>
          <w:tcPr>
            <w:tcW w:type="dxa" w:w="2160"/>
          </w:tcPr>
          <w:p>
            <w:r>
              <w:rPr>
                <w:sz w:val="20"/>
              </w:rPr>
              <w:t>H1, H3</w:t>
            </w:r>
          </w:p>
        </w:tc>
      </w:tr>
      <w:tr>
        <w:tc>
          <w:tcPr>
            <w:tcW w:type="dxa" w:w="2160"/>
          </w:tcPr>
          <w:p>
            <w:r>
              <w:rPr>
                <w:sz w:val="20"/>
              </w:rPr>
              <w:t>3</w:t>
            </w:r>
          </w:p>
        </w:tc>
        <w:tc>
          <w:tcPr>
            <w:tcW w:type="dxa" w:w="2160"/>
          </w:tcPr>
          <w:p>
            <w:r>
              <w:rPr>
                <w:sz w:val="20"/>
              </w:rPr>
              <w:t>Category management</w:t>
            </w:r>
          </w:p>
        </w:tc>
        <w:tc>
          <w:tcPr>
            <w:tcW w:type="dxa" w:w="2160"/>
          </w:tcPr>
          <w:p>
            <w:r>
              <w:rPr>
                <w:sz w:val="20"/>
              </w:rPr>
              <w:t>24+ categories with vastly different profit profiles</w:t>
            </w:r>
          </w:p>
        </w:tc>
        <w:tc>
          <w:tcPr>
            <w:tcW w:type="dxa" w:w="2160"/>
          </w:tcPr>
          <w:p>
            <w:r>
              <w:rPr>
                <w:sz w:val="20"/>
              </w:rPr>
              <w:t>E1, M3</w:t>
            </w:r>
          </w:p>
        </w:tc>
      </w:tr>
      <w:tr>
        <w:tc>
          <w:tcPr>
            <w:tcW w:type="dxa" w:w="2160"/>
          </w:tcPr>
          <w:p>
            <w:r>
              <w:rPr>
                <w:sz w:val="20"/>
              </w:rPr>
              <w:t>4</w:t>
            </w:r>
          </w:p>
        </w:tc>
        <w:tc>
          <w:tcPr>
            <w:tcW w:type="dxa" w:w="2160"/>
          </w:tcPr>
          <w:p>
            <w:r>
              <w:rPr>
                <w:sz w:val="20"/>
              </w:rPr>
              <w:t>Trend detection &amp; seasonality</w:t>
            </w:r>
          </w:p>
        </w:tc>
        <w:tc>
          <w:tcPr>
            <w:tcW w:type="dxa" w:w="2160"/>
          </w:tcPr>
          <w:p>
            <w:r>
              <w:rPr>
                <w:sz w:val="20"/>
              </w:rPr>
              <w:t>5+ years of weekly data enables time-series analysis</w:t>
            </w:r>
          </w:p>
        </w:tc>
        <w:tc>
          <w:tcPr>
            <w:tcW w:type="dxa" w:w="2160"/>
          </w:tcPr>
          <w:p>
            <w:r>
              <w:rPr>
                <w:sz w:val="20"/>
              </w:rPr>
              <w:t>E2, H2</w:t>
            </w:r>
          </w:p>
        </w:tc>
      </w:tr>
      <w:tr>
        <w:tc>
          <w:tcPr>
            <w:tcW w:type="dxa" w:w="2160"/>
          </w:tcPr>
          <w:p>
            <w:r>
              <w:rPr>
                <w:sz w:val="20"/>
              </w:rPr>
              <w:t>5</w:t>
            </w:r>
          </w:p>
        </w:tc>
        <w:tc>
          <w:tcPr>
            <w:tcW w:type="dxa" w:w="2160"/>
          </w:tcPr>
          <w:p>
            <w:r>
              <w:rPr>
                <w:sz w:val="20"/>
              </w:rPr>
              <w:t>Store performance benchmarking</w:t>
            </w:r>
          </w:p>
        </w:tc>
        <w:tc>
          <w:tcPr>
            <w:tcW w:type="dxa" w:w="2160"/>
          </w:tcPr>
          <w:p>
            <w:r>
              <w:rPr>
                <w:sz w:val="20"/>
              </w:rPr>
              <w:t>Demographics + sales data enables performance attribution</w:t>
            </w:r>
          </w:p>
        </w:tc>
        <w:tc>
          <w:tcPr>
            <w:tcW w:type="dxa" w:w="2160"/>
          </w:tcPr>
          <w:p>
            <w:r>
              <w:rPr>
                <w:sz w:val="20"/>
              </w:rPr>
              <w:t>M2, H1</w:t>
            </w:r>
          </w:p>
        </w:tc>
      </w:tr>
    </w:tbl>
    <w:p/>
    <w:p>
      <w:pPr>
        <w:jc w:val="center"/>
      </w:pPr>
      <w:r>
        <w:rPr>
          <w:i/>
          <w:color w:val="595659"/>
          <w:sz w:val="18"/>
        </w:rPr>
        <w:t>Table 6: Relevant retail problems for DFF with related business questions</w:t>
      </w:r>
    </w:p>
    <w:p>
      <w:r>
        <w:br w:type="page"/>
      </w:r>
    </w:p>
    <w:p>
      <w:pPr>
        <w:pStyle w:val="Heading1"/>
      </w:pPr>
      <w:r>
        <w:rPr>
          <w:color w:val="2F5496"/>
        </w:rPr>
        <w:t>4. Business Questions</w:t>
      </w:r>
    </w:p>
    <w:p>
      <w:pPr>
        <w:pStyle w:val="Heading2"/>
      </w:pPr>
      <w:r>
        <w:rPr>
          <w:color w:val="2F5496"/>
        </w:rPr>
        <w:t>4.1 List of 10 Business Questions</w:t>
      </w:r>
    </w:p>
    <w:p>
      <w:r>
        <w:t>Based on our understanding of the data, metadata analysis, and domain research, we developed 10 OLAP business questions organized by difficulty level. Each question is designed for OLAP-style aggregation, slicing, and dicing across the store, product, time, category, and promotion dimensions.</w:t>
      </w:r>
    </w:p>
    <w:p>
      <w:pPr>
        <w:pStyle w:val="Heading3"/>
      </w:pPr>
      <w:r>
        <w:rPr>
          <w:color w:val="2F5496"/>
        </w:rPr>
        <w:t>BQ E1: What were the total units sold per product category across the entire dataset period?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Roll-up</w:t>
            </w:r>
          </w:p>
        </w:tc>
      </w:tr>
      <w:tr>
        <w:tc>
          <w:tcPr>
            <w:tcW w:type="dxa" w:w="4320"/>
          </w:tcPr>
          <w:p>
            <w:r>
              <w:rPr>
                <w:sz w:val="20"/>
              </w:rPr>
              <w:t>Files Needed</w:t>
            </w:r>
          </w:p>
        </w:tc>
        <w:tc>
          <w:tcPr>
            <w:tcW w:type="dxa" w:w="4320"/>
          </w:tcPr>
          <w:p>
            <w:r>
              <w:rPr>
                <w:sz w:val="20"/>
              </w:rPr>
              <w:t>All 24 Movement CSVs</w:t>
            </w:r>
          </w:p>
        </w:tc>
      </w:tr>
      <w:tr>
        <w:tc>
          <w:tcPr>
            <w:tcW w:type="dxa" w:w="4320"/>
          </w:tcPr>
          <w:p>
            <w:r>
              <w:rPr>
                <w:sz w:val="20"/>
              </w:rPr>
              <w:t>Key Columns</w:t>
            </w:r>
          </w:p>
        </w:tc>
        <w:tc>
          <w:tcPr>
            <w:tcW w:type="dxa" w:w="4320"/>
          </w:tcPr>
          <w:p>
            <w:r>
              <w:rPr>
                <w:sz w:val="20"/>
              </w:rPr>
              <w:t>MOVE, OK</w:t>
            </w:r>
          </w:p>
        </w:tc>
      </w:tr>
      <w:tr>
        <w:tc>
          <w:tcPr>
            <w:tcW w:type="dxa" w:w="4320"/>
          </w:tcPr>
          <w:p>
            <w:r>
              <w:rPr>
                <w:sz w:val="20"/>
              </w:rPr>
              <w:t>Business Value</w:t>
            </w:r>
          </w:p>
        </w:tc>
        <w:tc>
          <w:tcPr>
            <w:tcW w:type="dxa" w:w="4320"/>
          </w:tcPr>
          <w:p>
            <w:r>
              <w:rPr>
                <w:sz w:val="20"/>
              </w:rPr>
              <w:t>Category management foundation , determines shelf space allocation and supply chain priorities across all 24 categories.</w:t>
            </w:r>
          </w:p>
        </w:tc>
      </w:tr>
    </w:tbl>
    <w:p/>
    <w:p>
      <w:r>
        <w:rPr>
          <w:b/>
        </w:rPr>
        <w:t>SQL Query:</w:t>
      </w:r>
    </w:p>
    <w:p>
      <w:r>
        <w:rPr>
          <w:rFonts w:ascii="Courier New" w:hAnsi="Courier New"/>
          <w:sz w:val="18"/>
        </w:rPr>
        <w:t>SELECT category_code, SUM(MOVE) AS total_units_sold</w:t>
        <w:br/>
        <w:t>FROM FactWeeklySales WHERE OK = 1</w:t>
        <w:br/>
        <w:t>GROUP BY category_code ORDER BY total_units_sold DESC;</w:t>
      </w:r>
    </w:p>
    <w:p>
      <w:pPr>
        <w:pStyle w:val="Heading3"/>
      </w:pPr>
      <w:r>
        <w:rPr>
          <w:color w:val="2F5496"/>
        </w:rPr>
        <w:t>BQ E2: What were the total weekly unit sales of Soft Drinks across all stores for each week?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Roll-up</w:t>
            </w:r>
          </w:p>
        </w:tc>
      </w:tr>
      <w:tr>
        <w:tc>
          <w:tcPr>
            <w:tcW w:type="dxa" w:w="4320"/>
          </w:tcPr>
          <w:p>
            <w:r>
              <w:rPr>
                <w:sz w:val="20"/>
              </w:rPr>
              <w:t>Files Needed</w:t>
            </w:r>
          </w:p>
        </w:tc>
        <w:tc>
          <w:tcPr>
            <w:tcW w:type="dxa" w:w="4320"/>
          </w:tcPr>
          <w:p>
            <w:r>
              <w:rPr>
                <w:sz w:val="20"/>
              </w:rPr>
              <w:t>Movement/WSDR/wsdr.csv</w:t>
            </w:r>
          </w:p>
        </w:tc>
      </w:tr>
      <w:tr>
        <w:tc>
          <w:tcPr>
            <w:tcW w:type="dxa" w:w="4320"/>
          </w:tcPr>
          <w:p>
            <w:r>
              <w:rPr>
                <w:sz w:val="20"/>
              </w:rPr>
              <w:t>Key Columns</w:t>
            </w:r>
          </w:p>
        </w:tc>
        <w:tc>
          <w:tcPr>
            <w:tcW w:type="dxa" w:w="4320"/>
          </w:tcPr>
          <w:p>
            <w:r>
              <w:rPr>
                <w:sz w:val="20"/>
              </w:rPr>
              <w:t>WEEK, MOVE, OK</w:t>
            </w:r>
          </w:p>
        </w:tc>
      </w:tr>
      <w:tr>
        <w:tc>
          <w:tcPr>
            <w:tcW w:type="dxa" w:w="4320"/>
          </w:tcPr>
          <w:p>
            <w:r>
              <w:rPr>
                <w:sz w:val="20"/>
              </w:rPr>
              <w:t>Business Value</w:t>
            </w:r>
          </w:p>
        </w:tc>
        <w:tc>
          <w:tcPr>
            <w:tcW w:type="dxa" w:w="4320"/>
          </w:tcPr>
          <w:p>
            <w:r>
              <w:rPr>
                <w:sz w:val="20"/>
              </w:rPr>
              <w:t>High-volume trend monitoring , Soft Drinks is the largest category (17.7M rows). Weekly tracking enables demand forecasting and seasonal detection.</w:t>
            </w:r>
          </w:p>
        </w:tc>
      </w:tr>
    </w:tbl>
    <w:p/>
    <w:p>
      <w:r>
        <w:rPr>
          <w:b/>
        </w:rPr>
        <w:t>SQL Query:</w:t>
      </w:r>
    </w:p>
    <w:p>
      <w:r>
        <w:rPr>
          <w:rFonts w:ascii="Courier New" w:hAnsi="Courier New"/>
          <w:sz w:val="18"/>
        </w:rPr>
        <w:t>SELECT WEEK, SUM(MOVE) AS total_units_sold</w:t>
        <w:br/>
        <w:t>FROM FactWeeklySales WHERE category_code = 'SDR' AND OK = 1</w:t>
        <w:br/>
        <w:t>GROUP BY WEEK ORDER BY WEEK;</w:t>
      </w:r>
    </w:p>
    <w:p>
      <w:pPr>
        <w:pStyle w:val="Heading3"/>
      </w:pPr>
      <w:r>
        <w:rPr>
          <w:color w:val="2F5496"/>
        </w:rPr>
        <w:t>BQ E3: How do promotion weeks compare to non-promotion weeks in terms of sales volume?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Slice</w:t>
            </w:r>
          </w:p>
        </w:tc>
      </w:tr>
      <w:tr>
        <w:tc>
          <w:tcPr>
            <w:tcW w:type="dxa" w:w="4320"/>
          </w:tcPr>
          <w:p>
            <w:r>
              <w:rPr>
                <w:sz w:val="20"/>
              </w:rPr>
              <w:t>Files Needed</w:t>
            </w:r>
          </w:p>
        </w:tc>
        <w:tc>
          <w:tcPr>
            <w:tcW w:type="dxa" w:w="4320"/>
          </w:tcPr>
          <w:p>
            <w:r>
              <w:rPr>
                <w:sz w:val="20"/>
              </w:rPr>
              <w:t>Any Movement CSV (e.g., wsdr.csv)</w:t>
            </w:r>
          </w:p>
        </w:tc>
      </w:tr>
      <w:tr>
        <w:tc>
          <w:tcPr>
            <w:tcW w:type="dxa" w:w="4320"/>
          </w:tcPr>
          <w:p>
            <w:r>
              <w:rPr>
                <w:sz w:val="20"/>
              </w:rPr>
              <w:t>Key Columns</w:t>
            </w:r>
          </w:p>
        </w:tc>
        <w:tc>
          <w:tcPr>
            <w:tcW w:type="dxa" w:w="4320"/>
          </w:tcPr>
          <w:p>
            <w:r>
              <w:rPr>
                <w:sz w:val="20"/>
              </w:rPr>
              <w:t>SALE, MOVE, OK</w:t>
            </w:r>
          </w:p>
        </w:tc>
      </w:tr>
      <w:tr>
        <w:tc>
          <w:tcPr>
            <w:tcW w:type="dxa" w:w="4320"/>
          </w:tcPr>
          <w:p>
            <w:r>
              <w:rPr>
                <w:sz w:val="20"/>
              </w:rPr>
              <w:t>Business Value</w:t>
            </w:r>
          </w:p>
        </w:tc>
        <w:tc>
          <w:tcPr>
            <w:tcW w:type="dxa" w:w="4320"/>
          </w:tcPr>
          <w:p>
            <w:r>
              <w:rPr>
                <w:sz w:val="20"/>
              </w:rPr>
              <w:t>Promotion ROI baseline , data shows promotions boost SDR sales by 7.9×, confirming the investment value of promotional activities.</w:t>
            </w:r>
          </w:p>
        </w:tc>
      </w:tr>
    </w:tbl>
    <w:p/>
    <w:p>
      <w:r>
        <w:rPr>
          <w:b/>
        </w:rPr>
        <w:t>SQL Query:</w:t>
      </w:r>
    </w:p>
    <w:p>
      <w:r>
        <w:rPr>
          <w:rFonts w:ascii="Courier New" w:hAnsi="Courier New"/>
          <w:sz w:val="18"/>
        </w:rPr>
        <w:t>SELECT CASE WHEN SALE IS NOT NULL THEN 'Promoted' ELSE 'Not Promoted' END AS promo_status,</w:t>
        <w:br/>
        <w:t xml:space="preserve">  AVG(MOVE) AS avg_units, SUM(MOVE) AS total_units</w:t>
        <w:br/>
        <w:t>FROM FactWeeklySales WHERE OK = 1</w:t>
        <w:br/>
        <w:t>GROUP BY promo_status;</w:t>
      </w:r>
    </w:p>
    <w:p>
      <w:pPr>
        <w:pStyle w:val="Heading3"/>
      </w:pPr>
      <w:r>
        <w:rPr>
          <w:color w:val="2F5496"/>
        </w:rPr>
        <w:t>BQ M1: Which promotion type (B=Bonus Buy, C=Coupon, S=Sale) generated the highest incremental unit sales lift in the Canned Soup category?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Dice</w:t>
            </w:r>
          </w:p>
        </w:tc>
      </w:tr>
      <w:tr>
        <w:tc>
          <w:tcPr>
            <w:tcW w:type="dxa" w:w="4320"/>
          </w:tcPr>
          <w:p>
            <w:r>
              <w:rPr>
                <w:sz w:val="20"/>
              </w:rPr>
              <w:t>Files Needed</w:t>
            </w:r>
          </w:p>
        </w:tc>
        <w:tc>
          <w:tcPr>
            <w:tcW w:type="dxa" w:w="4320"/>
          </w:tcPr>
          <w:p>
            <w:r>
              <w:rPr>
                <w:sz w:val="20"/>
              </w:rPr>
              <w:t>Movement/WCSO/WCSO-Done.csv</w:t>
            </w:r>
          </w:p>
        </w:tc>
      </w:tr>
      <w:tr>
        <w:tc>
          <w:tcPr>
            <w:tcW w:type="dxa" w:w="4320"/>
          </w:tcPr>
          <w:p>
            <w:r>
              <w:rPr>
                <w:sz w:val="20"/>
              </w:rPr>
              <w:t>Key Columns</w:t>
            </w:r>
          </w:p>
        </w:tc>
        <w:tc>
          <w:tcPr>
            <w:tcW w:type="dxa" w:w="4320"/>
          </w:tcPr>
          <w:p>
            <w:r>
              <w:rPr>
                <w:sz w:val="20"/>
              </w:rPr>
              <w:t>UPC, STORE, WEEK, MOVE, SALE, OK</w:t>
            </w:r>
          </w:p>
        </w:tc>
      </w:tr>
      <w:tr>
        <w:tc>
          <w:tcPr>
            <w:tcW w:type="dxa" w:w="4320"/>
          </w:tcPr>
          <w:p>
            <w:r>
              <w:rPr>
                <w:sz w:val="20"/>
              </w:rPr>
              <w:t>Business Value</w:t>
            </w:r>
          </w:p>
        </w:tc>
        <w:tc>
          <w:tcPr>
            <w:tcW w:type="dxa" w:w="4320"/>
          </w:tcPr>
          <w:p>
            <w:r>
              <w:rPr>
                <w:sz w:val="20"/>
              </w:rPr>
              <w:t>Highest ROI impact , Sale discounts (S) drive 9.4× lift vs. baseline, 4.3× more effective than Bonus Buys. Directly informs promotional budget allocation. Supported by Chevalier et al. (2003).</w:t>
            </w:r>
          </w:p>
        </w:tc>
      </w:tr>
    </w:tbl>
    <w:p/>
    <w:p>
      <w:r>
        <w:rPr>
          <w:b/>
        </w:rPr>
        <w:t>SQL Query:</w:t>
      </w:r>
    </w:p>
    <w:p>
      <w:r>
        <w:rPr>
          <w:rFonts w:ascii="Courier New" w:hAnsi="Courier New"/>
          <w:sz w:val="18"/>
        </w:rPr>
        <w:t>SELECT SALE AS promotion_type, AVG(MOVE) AS avg_units_promoted,</w:t>
        <w:br/>
        <w:t xml:space="preserve">  AVG(MOVE) - (SELECT AVG(MOVE) FROM FactWeeklySales</w:t>
        <w:br/>
        <w:t xml:space="preserve">    WHERE category_code='CSO' AND SALE IS NULL AND OK=1) AS sales_lift</w:t>
        <w:br/>
        <w:t>FROM FactWeeklySales</w:t>
        <w:br/>
        <w:t>WHERE category_code='CSO' AND SALE IS NOT NULL AND OK=1</w:t>
        <w:br/>
        <w:t>GROUP BY SALE ORDER BY sales_lift DESC;</w:t>
      </w:r>
    </w:p>
    <w:p>
      <w:pPr>
        <w:pStyle w:val="Heading3"/>
      </w:pPr>
      <w:r>
        <w:rPr>
          <w:color w:val="2F5496"/>
        </w:rPr>
        <w:t>BQ M2: How did quarterly revenue for Frozen Entrees differ between urban and suburban stores?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Drill-down</w:t>
            </w:r>
          </w:p>
        </w:tc>
      </w:tr>
      <w:tr>
        <w:tc>
          <w:tcPr>
            <w:tcW w:type="dxa" w:w="4320"/>
          </w:tcPr>
          <w:p>
            <w:r>
              <w:rPr>
                <w:sz w:val="20"/>
              </w:rPr>
              <w:t>Files Needed</w:t>
            </w:r>
          </w:p>
        </w:tc>
        <w:tc>
          <w:tcPr>
            <w:tcW w:type="dxa" w:w="4320"/>
          </w:tcPr>
          <w:p>
            <w:r>
              <w:rPr>
                <w:sz w:val="20"/>
              </w:rPr>
              <w:t>WFRE/WFRE-Done.csv + Demographics/DEMO.csv</w:t>
            </w:r>
          </w:p>
        </w:tc>
      </w:tr>
      <w:tr>
        <w:tc>
          <w:tcPr>
            <w:tcW w:type="dxa" w:w="4320"/>
          </w:tcPr>
          <w:p>
            <w:r>
              <w:rPr>
                <w:sz w:val="20"/>
              </w:rPr>
              <w:t>Key Columns</w:t>
            </w:r>
          </w:p>
        </w:tc>
        <w:tc>
          <w:tcPr>
            <w:tcW w:type="dxa" w:w="4320"/>
          </w:tcPr>
          <w:p>
            <w:r>
              <w:rPr>
                <w:sz w:val="20"/>
              </w:rPr>
              <w:t>STORE, WEEK, MOVE, PRICE, QTY; URBAN</w:t>
            </w:r>
          </w:p>
        </w:tc>
      </w:tr>
      <w:tr>
        <w:tc>
          <w:tcPr>
            <w:tcW w:type="dxa" w:w="4320"/>
          </w:tcPr>
          <w:p>
            <w:r>
              <w:rPr>
                <w:sz w:val="20"/>
              </w:rPr>
              <w:t>Business Value</w:t>
            </w:r>
          </w:p>
        </w:tc>
        <w:tc>
          <w:tcPr>
            <w:tcW w:type="dxa" w:w="4320"/>
          </w:tcPr>
          <w:p>
            <w:r>
              <w:rPr>
                <w:sz w:val="20"/>
              </w:rPr>
              <w:t>Location strategy , suburban stores generate ~60% of revenue. Understanding differences informs store openings. Supported by Montgomery (1997).</w:t>
            </w:r>
          </w:p>
        </w:tc>
      </w:tr>
    </w:tbl>
    <w:p/>
    <w:p>
      <w:r>
        <w:rPr>
          <w:b/>
        </w:rPr>
        <w:t>SQL Query:</w:t>
      </w:r>
    </w:p>
    <w:p>
      <w:r>
        <w:rPr>
          <w:rFonts w:ascii="Courier New" w:hAnsi="Courier New"/>
          <w:sz w:val="18"/>
        </w:rPr>
        <w:t>SELECT d.URBAN, (f.WEEK / 13) AS quarter_id,</w:t>
        <w:br/>
        <w:t xml:space="preserve">  SUM(f.MOVE * (f.PRICE / f.QTY)) AS quarterly_revenue</w:t>
        <w:br/>
        <w:t>FROM FactWeeklySales f JOIN DimStore d ON f.store_id = d.store_id</w:t>
        <w:br/>
        <w:t>WHERE f.category_code = 'FRE' AND f.OK = 1</w:t>
        <w:br/>
        <w:t>GROUP BY d.URBAN, quarter_id ORDER BY quarter_id;</w:t>
      </w:r>
    </w:p>
    <w:p>
      <w:pPr>
        <w:pStyle w:val="Heading3"/>
      </w:pPr>
      <w:r>
        <w:rPr>
          <w:color w:val="2F5496"/>
        </w:rPr>
        <w:t>BQ M3: How has the monthly market share (% of total units sold) of the top 5 Cereal brands changed over time?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Pivot + Ratio-to-Total</w:t>
            </w:r>
          </w:p>
        </w:tc>
      </w:tr>
      <w:tr>
        <w:tc>
          <w:tcPr>
            <w:tcW w:type="dxa" w:w="4320"/>
          </w:tcPr>
          <w:p>
            <w:r>
              <w:rPr>
                <w:sz w:val="20"/>
              </w:rPr>
              <w:t>Files Needed</w:t>
            </w:r>
          </w:p>
        </w:tc>
        <w:tc>
          <w:tcPr>
            <w:tcW w:type="dxa" w:w="4320"/>
          </w:tcPr>
          <w:p>
            <w:r>
              <w:rPr>
                <w:sz w:val="20"/>
              </w:rPr>
              <w:t>DONE-WCER.csv + UPC/UPCCER.csv</w:t>
            </w:r>
          </w:p>
        </w:tc>
      </w:tr>
      <w:tr>
        <w:tc>
          <w:tcPr>
            <w:tcW w:type="dxa" w:w="4320"/>
          </w:tcPr>
          <w:p>
            <w:r>
              <w:rPr>
                <w:sz w:val="20"/>
              </w:rPr>
              <w:t>Key Columns</w:t>
            </w:r>
          </w:p>
        </w:tc>
        <w:tc>
          <w:tcPr>
            <w:tcW w:type="dxa" w:w="4320"/>
          </w:tcPr>
          <w:p>
            <w:r>
              <w:rPr>
                <w:sz w:val="20"/>
              </w:rPr>
              <w:t>UPC, WEEK, MOVE; COM_CODE</w:t>
            </w:r>
          </w:p>
        </w:tc>
      </w:tr>
      <w:tr>
        <w:tc>
          <w:tcPr>
            <w:tcW w:type="dxa" w:w="4320"/>
          </w:tcPr>
          <w:p>
            <w:r>
              <w:rPr>
                <w:sz w:val="20"/>
              </w:rPr>
              <w:t>Business Value</w:t>
            </w:r>
          </w:p>
        </w:tc>
        <w:tc>
          <w:tcPr>
            <w:tcW w:type="dxa" w:w="4320"/>
          </w:tcPr>
          <w:p>
            <w:r>
              <w:rPr>
                <w:sz w:val="20"/>
              </w:rPr>
              <w:t>Competitive intelligence , tracking brand share trends helps negotiate with manufacturers and optimize category assortment. Aligned with Chintagunta (2002).</w:t>
            </w:r>
          </w:p>
        </w:tc>
      </w:tr>
    </w:tbl>
    <w:p/>
    <w:p>
      <w:r>
        <w:rPr>
          <w:b/>
        </w:rPr>
        <w:t>SQL Query:</w:t>
      </w:r>
    </w:p>
    <w:p>
      <w:r>
        <w:rPr>
          <w:rFonts w:ascii="Courier New" w:hAnsi="Courier New"/>
          <w:sz w:val="18"/>
        </w:rPr>
        <w:t>WITH brand_total AS (</w:t>
        <w:br/>
        <w:t xml:space="preserve">  SELECT u.COM_CODE, (f.WEEK/4) AS month_id, SUM(f.MOVE) AS brand_units</w:t>
        <w:br/>
        <w:t xml:space="preserve">  FROM FactWeeklySales f JOIN DimProduct u ON f.upc = u.upc</w:t>
        <w:br/>
        <w:t xml:space="preserve">  WHERE f.category_code='CER' AND f.OK=1</w:t>
        <w:br/>
        <w:t xml:space="preserve">  GROUP BY u.COM_CODE, month_id)</w:t>
        <w:br/>
        <w:t>SELECT COM_CODE, month_id, brand_units,</w:t>
        <w:br/>
        <w:t xml:space="preserve">  ROUND(100.0 * brand_units / SUM(brand_units) OVER(PARTITION BY month_id), 2) AS market_share_pct</w:t>
        <w:br/>
        <w:t>FROM brand_total;</w:t>
      </w:r>
    </w:p>
    <w:p>
      <w:pPr>
        <w:pStyle w:val="Heading3"/>
      </w:pPr>
      <w:r>
        <w:rPr>
          <w:color w:val="2F5496"/>
        </w:rPr>
        <w:t>BQ M4: Which 10 individual products (UPCs) in the Beer category had the largest price variance across stores in the same week?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Dice + Ranking</w:t>
            </w:r>
          </w:p>
        </w:tc>
      </w:tr>
      <w:tr>
        <w:tc>
          <w:tcPr>
            <w:tcW w:type="dxa" w:w="4320"/>
          </w:tcPr>
          <w:p>
            <w:r>
              <w:rPr>
                <w:sz w:val="20"/>
              </w:rPr>
              <w:t>Files Needed</w:t>
            </w:r>
          </w:p>
        </w:tc>
        <w:tc>
          <w:tcPr>
            <w:tcW w:type="dxa" w:w="4320"/>
          </w:tcPr>
          <w:p>
            <w:r>
              <w:rPr>
                <w:sz w:val="20"/>
              </w:rPr>
              <w:t>DONE-WBER.csv + UPC/UPCBER.csv</w:t>
            </w:r>
          </w:p>
        </w:tc>
      </w:tr>
      <w:tr>
        <w:tc>
          <w:tcPr>
            <w:tcW w:type="dxa" w:w="4320"/>
          </w:tcPr>
          <w:p>
            <w:r>
              <w:rPr>
                <w:sz w:val="20"/>
              </w:rPr>
              <w:t>Key Columns</w:t>
            </w:r>
          </w:p>
        </w:tc>
        <w:tc>
          <w:tcPr>
            <w:tcW w:type="dxa" w:w="4320"/>
          </w:tcPr>
          <w:p>
            <w:r>
              <w:rPr>
                <w:sz w:val="20"/>
              </w:rPr>
              <w:t>UPC, STORE, WEEK, PRICE, QTY; DESCRIP</w:t>
            </w:r>
          </w:p>
        </w:tc>
      </w:tr>
      <w:tr>
        <w:tc>
          <w:tcPr>
            <w:tcW w:type="dxa" w:w="4320"/>
          </w:tcPr>
          <w:p>
            <w:r>
              <w:rPr>
                <w:sz w:val="20"/>
              </w:rPr>
              <w:t>Business Value</w:t>
            </w:r>
          </w:p>
        </w:tc>
        <w:tc>
          <w:tcPr>
            <w:tcW w:type="dxa" w:w="4320"/>
          </w:tcPr>
          <w:p>
            <w:r>
              <w:rPr>
                <w:sz w:val="20"/>
              </w:rPr>
              <w:t>Pricing consistency audit , Busch Beer shows $6.30 price spread across 69 stores, revealing genuine pricing inconsistency.</w:t>
            </w:r>
          </w:p>
        </w:tc>
      </w:tr>
    </w:tbl>
    <w:p/>
    <w:p>
      <w:r>
        <w:rPr>
          <w:b/>
        </w:rPr>
        <w:t>SQL Query:</w:t>
      </w:r>
    </w:p>
    <w:p>
      <w:r>
        <w:rPr>
          <w:rFonts w:ascii="Courier New" w:hAnsi="Courier New"/>
          <w:sz w:val="18"/>
        </w:rPr>
        <w:t>SELECT f.UPC, p.DESCRIP, f.WEEK,</w:t>
        <w:br/>
        <w:t xml:space="preserve">  MAX(f.PRICE/f.QTY) - MIN(f.PRICE/f.QTY) AS price_spread</w:t>
        <w:br/>
        <w:t>FROM FactWeeklySales f JOIN DimProduct p ON f.upc = p.upc</w:t>
        <w:br/>
        <w:t>WHERE f.category_code='BER' AND f.OK=1 AND f.PRICE&gt;0</w:t>
        <w:br/>
        <w:t>GROUP BY f.UPC, p.DESCRIP, f.WEEK</w:t>
        <w:br/>
        <w:t>HAVING COUNT(DISTINCT f.STORE) &gt;= 5</w:t>
        <w:br/>
        <w:t>ORDER BY price_spread DESC LIMIT 10;</w:t>
      </w:r>
    </w:p>
    <w:p>
      <w:pPr>
        <w:pStyle w:val="Heading3"/>
      </w:pPr>
      <w:r>
        <w:rPr>
          <w:color w:val="2F5496"/>
        </w:rPr>
        <w:t>BQ H1: Which stores fall into the top 25%, middle 50%, and bottom 25% of total revenue for the Toothpaste category, and how do their demographics differ?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NTILE + Drill-down</w:t>
            </w:r>
          </w:p>
        </w:tc>
      </w:tr>
      <w:tr>
        <w:tc>
          <w:tcPr>
            <w:tcW w:type="dxa" w:w="4320"/>
          </w:tcPr>
          <w:p>
            <w:r>
              <w:rPr>
                <w:sz w:val="20"/>
              </w:rPr>
              <w:t>Files Needed</w:t>
            </w:r>
          </w:p>
        </w:tc>
        <w:tc>
          <w:tcPr>
            <w:tcW w:type="dxa" w:w="4320"/>
          </w:tcPr>
          <w:p>
            <w:r>
              <w:rPr>
                <w:sz w:val="20"/>
              </w:rPr>
              <w:t>WTPA/WTPA_done.csv + Demographics/DEMO.csv</w:t>
            </w:r>
          </w:p>
        </w:tc>
      </w:tr>
      <w:tr>
        <w:tc>
          <w:tcPr>
            <w:tcW w:type="dxa" w:w="4320"/>
          </w:tcPr>
          <w:p>
            <w:r>
              <w:rPr>
                <w:sz w:val="20"/>
              </w:rPr>
              <w:t>Key Columns</w:t>
            </w:r>
          </w:p>
        </w:tc>
        <w:tc>
          <w:tcPr>
            <w:tcW w:type="dxa" w:w="4320"/>
          </w:tcPr>
          <w:p>
            <w:r>
              <w:rPr>
                <w:sz w:val="20"/>
              </w:rPr>
              <w:t>STORE, MOVE, PRICE, QTY; INCOME, URBAN, ZONE</w:t>
            </w:r>
          </w:p>
        </w:tc>
      </w:tr>
      <w:tr>
        <w:tc>
          <w:tcPr>
            <w:tcW w:type="dxa" w:w="4320"/>
          </w:tcPr>
          <w:p>
            <w:r>
              <w:rPr>
                <w:sz w:val="20"/>
              </w:rPr>
              <w:t>Business Value</w:t>
            </w:r>
          </w:p>
        </w:tc>
        <w:tc>
          <w:tcPr>
            <w:tcW w:type="dxa" w:w="4320"/>
          </w:tcPr>
          <w:p>
            <w:r>
              <w:rPr>
                <w:sz w:val="20"/>
              </w:rPr>
              <w:t>Zone pricing validation , top-performing stores are 73.9% urban. Paradoxically, lower income areas drive higher volume. Validates Hoch et al. (1995).</w:t>
            </w:r>
          </w:p>
        </w:tc>
      </w:tr>
    </w:tbl>
    <w:p/>
    <w:p>
      <w:r>
        <w:rPr>
          <w:b/>
        </w:rPr>
        <w:t>SQL Query:</w:t>
      </w:r>
    </w:p>
    <w:p>
      <w:r>
        <w:rPr>
          <w:rFonts w:ascii="Courier New" w:hAnsi="Courier New"/>
          <w:sz w:val="18"/>
        </w:rPr>
        <w:t>WITH store_revenue AS (</w:t>
        <w:br/>
        <w:t xml:space="preserve">  SELECT STORE, SUM(MOVE*(PRICE/QTY)) AS total_revenue</w:t>
        <w:br/>
        <w:t xml:space="preserve">  FROM FactWeeklySales WHERE category_code='TPA' AND OK=1 AND PRICE&gt;0</w:t>
        <w:br/>
        <w:t xml:space="preserve">  GROUP BY STORE),</w:t>
        <w:br/>
        <w:t>quartiles AS (</w:t>
        <w:br/>
        <w:t xml:space="preserve">  SELECT STORE, total_revenue,</w:t>
        <w:br/>
        <w:t xml:space="preserve">    NTILE(4) OVER(ORDER BY total_revenue) AS revenue_quartile</w:t>
        <w:br/>
        <w:t xml:space="preserve">  FROM store_revenue)</w:t>
        <w:br/>
        <w:t>SELECT CASE WHEN revenue_quartile=1 THEN 'Bottom 25%'</w:t>
        <w:br/>
        <w:t xml:space="preserve">  WHEN revenue_quartile IN(2,3) THEN 'Middle 50%'</w:t>
        <w:br/>
        <w:t xml:space="preserve">  ELSE 'Top 25%' END AS tier,</w:t>
        <w:br/>
        <w:t xml:space="preserve">  COUNT(*) AS store_count, AVG(total_revenue) AS avg_revenue</w:t>
        <w:br/>
        <w:t>FROM quartiles GROUP BY tier;</w:t>
      </w:r>
    </w:p>
    <w:p>
      <w:pPr>
        <w:pStyle w:val="Heading3"/>
      </w:pPr>
      <w:r>
        <w:rPr>
          <w:color w:val="2F5496"/>
        </w:rPr>
        <w:t>BQ H2: For each week, rank the top 10 individual products (UPCs) in the Crackers category by unit sales, and show their week-over-week sales change.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RANK + LAG</w:t>
            </w:r>
          </w:p>
        </w:tc>
      </w:tr>
      <w:tr>
        <w:tc>
          <w:tcPr>
            <w:tcW w:type="dxa" w:w="4320"/>
          </w:tcPr>
          <w:p>
            <w:r>
              <w:rPr>
                <w:sz w:val="20"/>
              </w:rPr>
              <w:t>Files Needed</w:t>
            </w:r>
          </w:p>
        </w:tc>
        <w:tc>
          <w:tcPr>
            <w:tcW w:type="dxa" w:w="4320"/>
          </w:tcPr>
          <w:p>
            <w:r>
              <w:rPr>
                <w:sz w:val="20"/>
              </w:rPr>
              <w:t>WCRA/Done-WCRA.csv + UPC/UPCCRA.csv</w:t>
            </w:r>
          </w:p>
        </w:tc>
      </w:tr>
      <w:tr>
        <w:tc>
          <w:tcPr>
            <w:tcW w:type="dxa" w:w="4320"/>
          </w:tcPr>
          <w:p>
            <w:r>
              <w:rPr>
                <w:sz w:val="20"/>
              </w:rPr>
              <w:t>Key Columns</w:t>
            </w:r>
          </w:p>
        </w:tc>
        <w:tc>
          <w:tcPr>
            <w:tcW w:type="dxa" w:w="4320"/>
          </w:tcPr>
          <w:p>
            <w:r>
              <w:rPr>
                <w:sz w:val="20"/>
              </w:rPr>
              <w:t>UPC, WEEK, MOVE; DESCRIP</w:t>
            </w:r>
          </w:p>
        </w:tc>
      </w:tr>
      <w:tr>
        <w:tc>
          <w:tcPr>
            <w:tcW w:type="dxa" w:w="4320"/>
          </w:tcPr>
          <w:p>
            <w:r>
              <w:rPr>
                <w:sz w:val="20"/>
              </w:rPr>
              <w:t>Business Value</w:t>
            </w:r>
          </w:p>
        </w:tc>
        <w:tc>
          <w:tcPr>
            <w:tcW w:type="dxa" w:w="4320"/>
          </w:tcPr>
          <w:p>
            <w:r>
              <w:rPr>
                <w:sz w:val="20"/>
              </w:rPr>
              <w:t>Product velocity monitoring , identifies rising/falling products weekly, enabling rapid assortment adjustment and measuring promotional impact on individual SKUs.</w:t>
            </w:r>
          </w:p>
        </w:tc>
      </w:tr>
    </w:tbl>
    <w:p/>
    <w:p>
      <w:r>
        <w:rPr>
          <w:b/>
        </w:rPr>
        <w:t>SQL Query:</w:t>
      </w:r>
    </w:p>
    <w:p>
      <w:r>
        <w:rPr>
          <w:rFonts w:ascii="Courier New" w:hAnsi="Courier New"/>
          <w:sz w:val="18"/>
        </w:rPr>
        <w:t>WITH weekly_product AS (</w:t>
        <w:br/>
        <w:t xml:space="preserve">  SELECT f.UPC, p.DESCRIP, f.WEEK, SUM(f.MOVE) AS weekly_units,</w:t>
        <w:br/>
        <w:t xml:space="preserve">    RANK() OVER(PARTITION BY f.WEEK ORDER BY SUM(f.MOVE) DESC) AS week_rank</w:t>
        <w:br/>
        <w:t xml:space="preserve">  FROM FactWeeklySales f JOIN DimProduct p ON f.upc=p.upc</w:t>
        <w:br/>
        <w:t xml:space="preserve">  WHERE f.category_code='CRA' AND f.OK=1</w:t>
        <w:br/>
        <w:t xml:space="preserve">  GROUP BY f.UPC, p.DESCRIP, f.WEEK)</w:t>
        <w:br/>
        <w:t>SELECT *, LAG(weekly_units) OVER(PARTITION BY UPC ORDER BY WEEK) AS prev_week,</w:t>
        <w:br/>
        <w:t xml:space="preserve">  weekly_units - LAG(weekly_units) OVER(PARTITION BY UPC ORDER BY WEEK) AS wow_change</w:t>
        <w:br/>
        <w:t>FROM weekly_product WHERE week_rank &lt;= 10;</w:t>
      </w:r>
    </w:p>
    <w:p>
      <w:pPr>
        <w:pStyle w:val="Heading3"/>
      </w:pPr>
      <w:r>
        <w:rPr>
          <w:color w:val="2F5496"/>
        </w:rPr>
        <w:t>BQ H3: For each pricing zone, what is the percentile rank of each store's average weekly profit in the Cigarettes category, and how does it compare to the zone average?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PERCENT_RANK + Drill-down</w:t>
            </w:r>
          </w:p>
        </w:tc>
      </w:tr>
      <w:tr>
        <w:tc>
          <w:tcPr>
            <w:tcW w:type="dxa" w:w="4320"/>
          </w:tcPr>
          <w:p>
            <w:r>
              <w:rPr>
                <w:sz w:val="20"/>
              </w:rPr>
              <w:t>Files Needed</w:t>
            </w:r>
          </w:p>
        </w:tc>
        <w:tc>
          <w:tcPr>
            <w:tcW w:type="dxa" w:w="4320"/>
          </w:tcPr>
          <w:p>
            <w:r>
              <w:rPr>
                <w:sz w:val="20"/>
              </w:rPr>
              <w:t>WCIG/Done-WCIG.csv + Demographics/DEMO.csv</w:t>
            </w:r>
          </w:p>
        </w:tc>
      </w:tr>
      <w:tr>
        <w:tc>
          <w:tcPr>
            <w:tcW w:type="dxa" w:w="4320"/>
          </w:tcPr>
          <w:p>
            <w:r>
              <w:rPr>
                <w:sz w:val="20"/>
              </w:rPr>
              <w:t>Key Columns</w:t>
            </w:r>
          </w:p>
        </w:tc>
        <w:tc>
          <w:tcPr>
            <w:tcW w:type="dxa" w:w="4320"/>
          </w:tcPr>
          <w:p>
            <w:r>
              <w:rPr>
                <w:sz w:val="20"/>
              </w:rPr>
              <w:t>STORE, WEEK, PROFIT; ZONE</w:t>
            </w:r>
          </w:p>
        </w:tc>
      </w:tr>
      <w:tr>
        <w:tc>
          <w:tcPr>
            <w:tcW w:type="dxa" w:w="4320"/>
          </w:tcPr>
          <w:p>
            <w:r>
              <w:rPr>
                <w:sz w:val="20"/>
              </w:rPr>
              <w:t>Business Value</w:t>
            </w:r>
          </w:p>
        </w:tc>
        <w:tc>
          <w:tcPr>
            <w:tcW w:type="dxa" w:w="4320"/>
          </w:tcPr>
          <w:p>
            <w:r>
              <w:rPr>
                <w:sz w:val="20"/>
              </w:rPr>
              <w:t>Profit optimization , Cigarettes high-margin (avg $16.44). Zone 1 has widest profit spread ($7–$40), showing significant underperformance by some stores.</w:t>
            </w:r>
          </w:p>
        </w:tc>
      </w:tr>
    </w:tbl>
    <w:p/>
    <w:p>
      <w:r>
        <w:rPr>
          <w:b/>
        </w:rPr>
        <w:t>SQL Query:</w:t>
      </w:r>
    </w:p>
    <w:p>
      <w:r>
        <w:rPr>
          <w:rFonts w:ascii="Courier New" w:hAnsi="Courier New"/>
          <w:sz w:val="18"/>
        </w:rPr>
        <w:t>WITH store_avg AS (</w:t>
        <w:br/>
        <w:t xml:space="preserve">  SELECT f.STORE, d.ZONE, AVG(f.PROFIT) AS avg_weekly_profit</w:t>
        <w:br/>
        <w:t xml:space="preserve">  FROM FactWeeklySales f JOIN DimStore d ON f.store_id=d.store_id</w:t>
        <w:br/>
        <w:t xml:space="preserve">  WHERE f.category_code='CIG' AND f.OK=1</w:t>
        <w:br/>
        <w:t xml:space="preserve">  GROUP BY f.STORE, d.ZONE)</w:t>
        <w:br/>
        <w:t>SELECT STORE, ZONE, avg_weekly_profit,</w:t>
        <w:br/>
        <w:t xml:space="preserve">  PERCENT_RANK() OVER(PARTITION BY ZONE ORDER BY avg_weekly_profit) AS pctile_rank,</w:t>
        <w:br/>
        <w:t xml:space="preserve">  AVG(avg_weekly_profit) OVER(PARTITION BY ZONE) AS zone_avg</w:t>
        <w:br/>
        <w:t>FROM store_avg ORDER BY ZONE, pctile_rank DESC;</w:t>
      </w:r>
    </w:p>
    <w:p>
      <w:r>
        <w:br w:type="page"/>
      </w:r>
    </w:p>
    <w:p>
      <w:pPr>
        <w:pStyle w:val="Heading2"/>
      </w:pPr>
      <w:r>
        <w:rPr>
          <w:color w:val="2F5496"/>
        </w:rPr>
        <w:t>4.2 Data Evidence for Business Questions</w:t>
      </w:r>
    </w:p>
    <w:p>
      <w:r>
        <w:t>The following charts, generated from the actual DFF dataset, provide data-backed evidence that each business question is implementable and produces meaningful results.</w:t>
      </w:r>
    </w:p>
    <w:p>
      <w:pPr>
        <w:pStyle w:val="Heading3"/>
      </w:pPr>
      <w:r>
        <w:rPr>
          <w:color w:val="2F5496"/>
        </w:rPr>
        <w:t>BQ E1: Category Volume Comparison</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chart1_category_volume.png"/>
                    <pic:cNvPicPr/>
                  </pic:nvPicPr>
                  <pic:blipFill>
                    <a:blip r:embed="rId9"/>
                    <a:stretch>
                      <a:fillRect/>
                    </a:stretch>
                  </pic:blipFill>
                  <pic:spPr>
                    <a:xfrm>
                      <a:off x="0" y="0"/>
                      <a:ext cx="5029200" cy="3017520"/>
                    </a:xfrm>
                    <a:prstGeom prst="rect"/>
                  </pic:spPr>
                </pic:pic>
              </a:graphicData>
            </a:graphic>
          </wp:inline>
        </w:drawing>
      </w:r>
    </w:p>
    <w:p>
      <w:pPr>
        <w:jc w:val="center"/>
      </w:pPr>
      <w:r>
        <w:rPr>
          <w:i/>
          <w:color w:val="595659"/>
          <w:sz w:val="18"/>
        </w:rPr>
        <w:t>Figure 8: Total units sold by category confirms wide volume variation, validating the category management question.</w:t>
      </w:r>
    </w:p>
    <w:p>
      <w:r>
        <w:t>This chart directly supports BQ E1. The data shows a 100× difference between the highest and lowest volume categories, confirming that category-level analysis is essential for DFF.</w:t>
      </w:r>
    </w:p>
    <w:p>
      <w:pPr>
        <w:pStyle w:val="Heading3"/>
      </w:pPr>
      <w:r>
        <w:rPr>
          <w:color w:val="2F5496"/>
        </w:rPr>
        <w:t>BQ E2: Weekly Sales Trend</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chart2_weekly_sdr_trend.png"/>
                    <pic:cNvPicPr/>
                  </pic:nvPicPr>
                  <pic:blipFill>
                    <a:blip r:embed="rId10"/>
                    <a:stretch>
                      <a:fillRect/>
                    </a:stretch>
                  </pic:blipFill>
                  <pic:spPr>
                    <a:xfrm>
                      <a:off x="0" y="0"/>
                      <a:ext cx="5029200" cy="3017520"/>
                    </a:xfrm>
                    <a:prstGeom prst="rect"/>
                  </pic:spPr>
                </pic:pic>
              </a:graphicData>
            </a:graphic>
          </wp:inline>
        </w:drawing>
      </w:r>
    </w:p>
    <w:p>
      <w:pPr>
        <w:jc w:val="center"/>
      </w:pPr>
      <w:r>
        <w:rPr>
          <w:i/>
          <w:color w:val="595659"/>
          <w:sz w:val="18"/>
        </w:rPr>
        <w:t>Figure 9: Weekly Soft Drinks sales trend with periodic promotional spikes.</w:t>
      </w:r>
    </w:p>
    <w:p>
      <w:r>
        <w:t>This chart supports BQ E2 by showing clear weekly patterns and promotional spikes in the SDR data.</w:t>
      </w:r>
    </w:p>
    <w:p>
      <w:pPr>
        <w:pStyle w:val="Heading3"/>
      </w:pPr>
      <w:r>
        <w:rPr>
          <w:color w:val="2F5496"/>
        </w:rPr>
        <w:t>BQ E3: Promotion vs Non-Promotion</w:t>
      </w:r>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chart3_promo_vs_nonpromo.png"/>
                    <pic:cNvPicPr/>
                  </pic:nvPicPr>
                  <pic:blipFill>
                    <a:blip r:embed="rId11"/>
                    <a:stretch>
                      <a:fillRect/>
                    </a:stretch>
                  </pic:blipFill>
                  <pic:spPr>
                    <a:xfrm>
                      <a:off x="0" y="0"/>
                      <a:ext cx="5029200" cy="3017520"/>
                    </a:xfrm>
                    <a:prstGeom prst="rect"/>
                  </pic:spPr>
                </pic:pic>
              </a:graphicData>
            </a:graphic>
          </wp:inline>
        </w:drawing>
      </w:r>
    </w:p>
    <w:p>
      <w:pPr>
        <w:jc w:val="center"/>
      </w:pPr>
      <w:r>
        <w:rPr>
          <w:i/>
          <w:color w:val="595659"/>
          <w:sz w:val="18"/>
        </w:rPr>
        <w:t>Figure 10: Average units sold by promotion status , 7.9× lift for promoted items.</w:t>
      </w:r>
    </w:p>
    <w:p>
      <w:r>
        <w:t>This directly validates BQ E3. Promoted items sell 7.9× more units on average, confirming promotion effectiveness.</w:t>
      </w:r>
    </w:p>
    <w:p>
      <w:pPr>
        <w:pStyle w:val="Heading3"/>
      </w:pPr>
      <w:r>
        <w:rPr>
          <w:color w:val="2F5496"/>
        </w:rPr>
        <w:t>BQ M1: Promotion Lift by Deal Type</w:t>
      </w:r>
    </w:p>
    <w:p>
      <w:pPr>
        <w:jc w:val="center"/>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bq_m1_promo_lift.png"/>
                    <pic:cNvPicPr/>
                  </pic:nvPicPr>
                  <pic:blipFill>
                    <a:blip r:embed="rId16"/>
                    <a:stretch>
                      <a:fillRect/>
                    </a:stretch>
                  </pic:blipFill>
                  <pic:spPr>
                    <a:xfrm>
                      <a:off x="0" y="0"/>
                      <a:ext cx="5029200" cy="3017520"/>
                    </a:xfrm>
                    <a:prstGeom prst="rect"/>
                  </pic:spPr>
                </pic:pic>
              </a:graphicData>
            </a:graphic>
          </wp:inline>
        </w:drawing>
      </w:r>
    </w:p>
    <w:p>
      <w:pPr>
        <w:jc w:val="center"/>
      </w:pPr>
      <w:r>
        <w:rPr>
          <w:i/>
          <w:color w:val="595659"/>
          <w:sz w:val="18"/>
        </w:rPr>
        <w:t>Figure 11: Average units sold by deal type for Canned Soup.</w:t>
      </w:r>
    </w:p>
    <w:p>
      <w:r>
        <w:t>This chart supports BQ M1 by showing that different deal types (B, S, C) produce significantly different sales lifts, with Sale (S) discounts being the most effective.</w:t>
      </w:r>
    </w:p>
    <w:p>
      <w:pPr>
        <w:pStyle w:val="Heading3"/>
      </w:pPr>
      <w:r>
        <w:rPr>
          <w:color w:val="2F5496"/>
        </w:rPr>
        <w:t>BQ M2: Urban vs Suburban Revenue</w:t>
      </w:r>
    </w:p>
    <w:p>
      <w:pPr>
        <w:jc w:val="center"/>
      </w:pPr>
      <w:r>
        <w:drawing>
          <wp:inline xmlns:a="http://schemas.openxmlformats.org/drawingml/2006/main" xmlns:pic="http://schemas.openxmlformats.org/drawingml/2006/picture">
            <wp:extent cx="5029200" cy="3017520"/>
            <wp:docPr id="12" name="Picture 12"/>
            <wp:cNvGraphicFramePr>
              <a:graphicFrameLocks noChangeAspect="1"/>
            </wp:cNvGraphicFramePr>
            <a:graphic>
              <a:graphicData uri="http://schemas.openxmlformats.org/drawingml/2006/picture">
                <pic:pic>
                  <pic:nvPicPr>
                    <pic:cNvPr id="0" name="bq_m2_urban_suburban.png"/>
                    <pic:cNvPicPr/>
                  </pic:nvPicPr>
                  <pic:blipFill>
                    <a:blip r:embed="rId17"/>
                    <a:stretch>
                      <a:fillRect/>
                    </a:stretch>
                  </pic:blipFill>
                  <pic:spPr>
                    <a:xfrm>
                      <a:off x="0" y="0"/>
                      <a:ext cx="5029200" cy="3017520"/>
                    </a:xfrm>
                    <a:prstGeom prst="rect"/>
                  </pic:spPr>
                </pic:pic>
              </a:graphicData>
            </a:graphic>
          </wp:inline>
        </w:drawing>
      </w:r>
    </w:p>
    <w:p>
      <w:pPr>
        <w:jc w:val="center"/>
      </w:pPr>
      <w:r>
        <w:rPr>
          <w:i/>
          <w:color w:val="595659"/>
          <w:sz w:val="18"/>
        </w:rPr>
        <w:t>Figure 12: Quarterly revenue comparison between urban and suburban stores (Frozen Entrees).</w:t>
      </w:r>
    </w:p>
    <w:p>
      <w:r>
        <w:t>This dual-bar chart supports BQ M2 by showing consistent revenue differences between urban and suburban locations across quarters.</w:t>
      </w:r>
    </w:p>
    <w:p>
      <w:pPr>
        <w:pStyle w:val="Heading3"/>
      </w:pPr>
      <w:r>
        <w:rPr>
          <w:color w:val="2F5496"/>
        </w:rPr>
        <w:t>BQ H1: Store Revenue Quartiles</w:t>
      </w:r>
    </w:p>
    <w:p>
      <w:pPr>
        <w:jc w:val="center"/>
      </w:pPr>
      <w:r>
        <w:drawing>
          <wp:inline xmlns:a="http://schemas.openxmlformats.org/drawingml/2006/main" xmlns:pic="http://schemas.openxmlformats.org/drawingml/2006/picture">
            <wp:extent cx="5029200" cy="2095500"/>
            <wp:docPr id="13" name="Picture 13"/>
            <wp:cNvGraphicFramePr>
              <a:graphicFrameLocks noChangeAspect="1"/>
            </wp:cNvGraphicFramePr>
            <a:graphic>
              <a:graphicData uri="http://schemas.openxmlformats.org/drawingml/2006/picture">
                <pic:pic>
                  <pic:nvPicPr>
                    <pic:cNvPr id="0" name="bq_h1_quartiles.png"/>
                    <pic:cNvPicPr/>
                  </pic:nvPicPr>
                  <pic:blipFill>
                    <a:blip r:embed="rId18"/>
                    <a:stretch>
                      <a:fillRect/>
                    </a:stretch>
                  </pic:blipFill>
                  <pic:spPr>
                    <a:xfrm>
                      <a:off x="0" y="0"/>
                      <a:ext cx="5029200" cy="2095500"/>
                    </a:xfrm>
                    <a:prstGeom prst="rect"/>
                  </pic:spPr>
                </pic:pic>
              </a:graphicData>
            </a:graphic>
          </wp:inline>
        </w:drawing>
      </w:r>
    </w:p>
    <w:p>
      <w:pPr>
        <w:jc w:val="center"/>
      </w:pPr>
      <w:r>
        <w:rPr>
          <w:i/>
          <w:color w:val="595659"/>
          <w:sz w:val="18"/>
        </w:rPr>
        <w:t>Figure 13: Store quartile analysis with demographic overlay (Toothpaste).</w:t>
      </w:r>
    </w:p>
    <w:p>
      <w:r>
        <w:t>This supports BQ H1 by showing that top-performing stores have dramatically different demographic profiles than bottom performers, validating the NTILE segmentation approach.</w:t>
      </w:r>
    </w:p>
    <w:p>
      <w:pPr>
        <w:pStyle w:val="Heading3"/>
      </w:pPr>
      <w:r>
        <w:rPr>
          <w:color w:val="2F5496"/>
        </w:rPr>
        <w:t>BQ H3: Profit by Pricing Zone</w:t>
      </w:r>
    </w:p>
    <w:p>
      <w:pPr>
        <w:jc w:val="center"/>
      </w:pPr>
      <w:r>
        <w:drawing>
          <wp:inline xmlns:a="http://schemas.openxmlformats.org/drawingml/2006/main" xmlns:pic="http://schemas.openxmlformats.org/drawingml/2006/picture">
            <wp:extent cx="5029200" cy="3017520"/>
            <wp:docPr id="14" name="Picture 14"/>
            <wp:cNvGraphicFramePr>
              <a:graphicFrameLocks noChangeAspect="1"/>
            </wp:cNvGraphicFramePr>
            <a:graphic>
              <a:graphicData uri="http://schemas.openxmlformats.org/drawingml/2006/picture">
                <pic:pic>
                  <pic:nvPicPr>
                    <pic:cNvPr id="0" name="bq_h3_zone_profit.png"/>
                    <pic:cNvPicPr/>
                  </pic:nvPicPr>
                  <pic:blipFill>
                    <a:blip r:embed="rId19"/>
                    <a:stretch>
                      <a:fillRect/>
                    </a:stretch>
                  </pic:blipFill>
                  <pic:spPr>
                    <a:xfrm>
                      <a:off x="0" y="0"/>
                      <a:ext cx="5029200" cy="3017520"/>
                    </a:xfrm>
                    <a:prstGeom prst="rect"/>
                  </pic:spPr>
                </pic:pic>
              </a:graphicData>
            </a:graphic>
          </wp:inline>
        </w:drawing>
      </w:r>
    </w:p>
    <w:p>
      <w:pPr>
        <w:jc w:val="center"/>
      </w:pPr>
      <w:r>
        <w:rPr>
          <w:i/>
          <w:color w:val="595659"/>
          <w:sz w:val="18"/>
        </w:rPr>
        <w:t>Figure 14: Average store profit by pricing zone for Cigarettes with min/max range.</w:t>
      </w:r>
    </w:p>
    <w:p>
      <w:r>
        <w:t>This supports BQ H3 by showing significant profit variation both between and within zones, validating the percentile ranking approach.</w:t>
      </w:r>
    </w:p>
    <w:p>
      <w:r>
        <w:br w:type="page"/>
      </w:r>
    </w:p>
    <w:p>
      <w:pPr>
        <w:pStyle w:val="Heading2"/>
      </w:pPr>
      <w:r>
        <w:rPr>
          <w:color w:val="2F5496"/>
        </w:rPr>
        <w:t>4.3 Prioritization and Rationalization</w:t>
      </w:r>
    </w:p>
    <w:p>
      <w:r>
        <w:t>The 10 business questions are prioritized below based on strategic value to DFF management, data availability, and implementability.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Priority</w:t>
            </w:r>
          </w:p>
        </w:tc>
        <w:tc>
          <w:tcPr>
            <w:tcW w:type="dxa" w:w="2880"/>
          </w:tcPr>
          <w:p>
            <w:r>
              <w:rPr>
                <w:b/>
                <w:sz w:val="20"/>
              </w:rPr>
              <w:t>BQ</w:t>
            </w:r>
          </w:p>
        </w:tc>
        <w:tc>
          <w:tcPr>
            <w:tcW w:type="dxa" w:w="2880"/>
          </w:tcPr>
          <w:p>
            <w:r>
              <w:rPr>
                <w:b/>
                <w:sz w:val="20"/>
              </w:rPr>
              <w:t>Rationale</w:t>
            </w:r>
          </w:p>
        </w:tc>
      </w:tr>
      <w:tr>
        <w:tc>
          <w:tcPr>
            <w:tcW w:type="dxa" w:w="2880"/>
          </w:tcPr>
          <w:p>
            <w:r>
              <w:rPr>
                <w:sz w:val="20"/>
              </w:rPr>
              <w:t>1</w:t>
            </w:r>
          </w:p>
        </w:tc>
        <w:tc>
          <w:tcPr>
            <w:tcW w:type="dxa" w:w="2880"/>
          </w:tcPr>
          <w:p>
            <w:r>
              <w:rPr>
                <w:sz w:val="20"/>
              </w:rPr>
              <w:t>M1 , Promo lift by deal type</w:t>
            </w:r>
          </w:p>
        </w:tc>
        <w:tc>
          <w:tcPr>
            <w:tcW w:type="dxa" w:w="2880"/>
          </w:tcPr>
          <w:p>
            <w:r>
              <w:rPr>
                <w:sz w:val="20"/>
              </w:rPr>
              <w:t>Highest ROI , directly impacts promotional budget. Data confirms 9.4× lift for Sale vs 2.2× for Bonus Buy. Supported by Chevalier et al. (2003).</w:t>
            </w:r>
          </w:p>
        </w:tc>
      </w:tr>
      <w:tr>
        <w:tc>
          <w:tcPr>
            <w:tcW w:type="dxa" w:w="2880"/>
          </w:tcPr>
          <w:p>
            <w:r>
              <w:rPr>
                <w:sz w:val="20"/>
              </w:rPr>
              <w:t>2</w:t>
            </w:r>
          </w:p>
        </w:tc>
        <w:tc>
          <w:tcPr>
            <w:tcW w:type="dxa" w:w="2880"/>
          </w:tcPr>
          <w:p>
            <w:r>
              <w:rPr>
                <w:sz w:val="20"/>
              </w:rPr>
              <w:t>E1 , Total units by category</w:t>
            </w:r>
          </w:p>
        </w:tc>
        <w:tc>
          <w:tcPr>
            <w:tcW w:type="dxa" w:w="2880"/>
          </w:tcPr>
          <w:p>
            <w:r>
              <w:rPr>
                <w:sz w:val="20"/>
              </w:rPr>
              <w:t>Category management foundation: baseline for shelf space, supply chain, and merchandising across 24 categories.</w:t>
            </w:r>
          </w:p>
        </w:tc>
      </w:tr>
      <w:tr>
        <w:tc>
          <w:tcPr>
            <w:tcW w:type="dxa" w:w="2880"/>
          </w:tcPr>
          <w:p>
            <w:r>
              <w:rPr>
                <w:sz w:val="20"/>
              </w:rPr>
              <w:t>3</w:t>
            </w:r>
          </w:p>
        </w:tc>
        <w:tc>
          <w:tcPr>
            <w:tcW w:type="dxa" w:w="2880"/>
          </w:tcPr>
          <w:p>
            <w:r>
              <w:rPr>
                <w:sz w:val="20"/>
              </w:rPr>
              <w:t>H1 , Store quartiles + demographics</w:t>
            </w:r>
          </w:p>
        </w:tc>
        <w:tc>
          <w:tcPr>
            <w:tcW w:type="dxa" w:w="2880"/>
          </w:tcPr>
          <w:p>
            <w:r>
              <w:rPr>
                <w:sz w:val="20"/>
              </w:rPr>
              <w:t>Zone pricing validation: Hoch et al. (1995) showed 3-5% profit improvement. Top stores are 73.9% urban.</w:t>
            </w:r>
          </w:p>
        </w:tc>
      </w:tr>
      <w:tr>
        <w:tc>
          <w:tcPr>
            <w:tcW w:type="dxa" w:w="2880"/>
          </w:tcPr>
          <w:p>
            <w:r>
              <w:rPr>
                <w:sz w:val="20"/>
              </w:rPr>
              <w:t>4</w:t>
            </w:r>
          </w:p>
        </w:tc>
        <w:tc>
          <w:tcPr>
            <w:tcW w:type="dxa" w:w="2880"/>
          </w:tcPr>
          <w:p>
            <w:r>
              <w:rPr>
                <w:sz w:val="20"/>
              </w:rPr>
              <w:t>M3 , Brand market share</w:t>
            </w:r>
          </w:p>
        </w:tc>
        <w:tc>
          <w:tcPr>
            <w:tcW w:type="dxa" w:w="2880"/>
          </w:tcPr>
          <w:p>
            <w:r>
              <w:rPr>
                <w:sz w:val="20"/>
              </w:rPr>
              <w:t>Competitive intelligence for manufacturer negotiation. Aligned with Chintagunta (2002).</w:t>
            </w:r>
          </w:p>
        </w:tc>
      </w:tr>
      <w:tr>
        <w:tc>
          <w:tcPr>
            <w:tcW w:type="dxa" w:w="2880"/>
          </w:tcPr>
          <w:p>
            <w:r>
              <w:rPr>
                <w:sz w:val="20"/>
              </w:rPr>
              <w:t>5</w:t>
            </w:r>
          </w:p>
        </w:tc>
        <w:tc>
          <w:tcPr>
            <w:tcW w:type="dxa" w:w="2880"/>
          </w:tcPr>
          <w:p>
            <w:r>
              <w:rPr>
                <w:sz w:val="20"/>
              </w:rPr>
              <w:t>E2 , Weekly SDR trend</w:t>
            </w:r>
          </w:p>
        </w:tc>
        <w:tc>
          <w:tcPr>
            <w:tcW w:type="dxa" w:w="2880"/>
          </w:tcPr>
          <w:p>
            <w:r>
              <w:rPr>
                <w:sz w:val="20"/>
              </w:rPr>
              <w:t>Largest category , demand forecasting and inventory optimization for 17.7M-row dataset.</w:t>
            </w:r>
          </w:p>
        </w:tc>
      </w:tr>
      <w:tr>
        <w:tc>
          <w:tcPr>
            <w:tcW w:type="dxa" w:w="2880"/>
          </w:tcPr>
          <w:p>
            <w:r>
              <w:rPr>
                <w:sz w:val="20"/>
              </w:rPr>
              <w:t>6</w:t>
            </w:r>
          </w:p>
        </w:tc>
        <w:tc>
          <w:tcPr>
            <w:tcW w:type="dxa" w:w="2880"/>
          </w:tcPr>
          <w:p>
            <w:r>
              <w:rPr>
                <w:sz w:val="20"/>
              </w:rPr>
              <w:t>M2 , Urban vs suburban revenue</w:t>
            </w:r>
          </w:p>
        </w:tc>
        <w:tc>
          <w:tcPr>
            <w:tcW w:type="dxa" w:w="2880"/>
          </w:tcPr>
          <w:p>
            <w:r>
              <w:rPr>
                <w:sz w:val="20"/>
              </w:rPr>
              <w:t>Location strategy: 60/40 suburban-urban revenue split informs store openings. Supported by Montgomery (1997).</w:t>
            </w:r>
          </w:p>
        </w:tc>
      </w:tr>
      <w:tr>
        <w:tc>
          <w:tcPr>
            <w:tcW w:type="dxa" w:w="2880"/>
          </w:tcPr>
          <w:p>
            <w:r>
              <w:rPr>
                <w:sz w:val="20"/>
              </w:rPr>
              <w:t>7</w:t>
            </w:r>
          </w:p>
        </w:tc>
        <w:tc>
          <w:tcPr>
            <w:tcW w:type="dxa" w:w="2880"/>
          </w:tcPr>
          <w:p>
            <w:r>
              <w:rPr>
                <w:sz w:val="20"/>
              </w:rPr>
              <w:t>H3 , Percentile rank by zone</w:t>
            </w:r>
          </w:p>
        </w:tc>
        <w:tc>
          <w:tcPr>
            <w:tcW w:type="dxa" w:w="2880"/>
          </w:tcPr>
          <w:p>
            <w:r>
              <w:rPr>
                <w:sz w:val="20"/>
              </w:rPr>
              <w:t>Profit optimization: Cigarettes high-margin ($16.44 avg). Zone 1 spread $7-$40 shows improvement opportunity.</w:t>
            </w:r>
          </w:p>
        </w:tc>
      </w:tr>
      <w:tr>
        <w:tc>
          <w:tcPr>
            <w:tcW w:type="dxa" w:w="2880"/>
          </w:tcPr>
          <w:p>
            <w:r>
              <w:rPr>
                <w:sz w:val="20"/>
              </w:rPr>
              <w:t>8</w:t>
            </w:r>
          </w:p>
        </w:tc>
        <w:tc>
          <w:tcPr>
            <w:tcW w:type="dxa" w:w="2880"/>
          </w:tcPr>
          <w:p>
            <w:r>
              <w:rPr>
                <w:sz w:val="20"/>
              </w:rPr>
              <w:t>E3 , Promo vs non-promo</w:t>
            </w:r>
          </w:p>
        </w:tc>
        <w:tc>
          <w:tcPr>
            <w:tcW w:type="dxa" w:w="2880"/>
          </w:tcPr>
          <w:p>
            <w:r>
              <w:rPr>
                <w:sz w:val="20"/>
              </w:rPr>
              <w:t>Validates promotional ROI: 7.9× lift proves promotions worth the investment.</w:t>
            </w:r>
          </w:p>
        </w:tc>
      </w:tr>
      <w:tr>
        <w:tc>
          <w:tcPr>
            <w:tcW w:type="dxa" w:w="2880"/>
          </w:tcPr>
          <w:p>
            <w:r>
              <w:rPr>
                <w:sz w:val="20"/>
              </w:rPr>
              <w:t>9</w:t>
            </w:r>
          </w:p>
        </w:tc>
        <w:tc>
          <w:tcPr>
            <w:tcW w:type="dxa" w:w="2880"/>
          </w:tcPr>
          <w:p>
            <w:r>
              <w:rPr>
                <w:sz w:val="20"/>
              </w:rPr>
              <w:t>H2 , Top 10 products WoW</w:t>
            </w:r>
          </w:p>
        </w:tc>
        <w:tc>
          <w:tcPr>
            <w:tcW w:type="dxa" w:w="2880"/>
          </w:tcPr>
          <w:p>
            <w:r>
              <w:rPr>
                <w:sz w:val="20"/>
              </w:rPr>
              <w:t>Product velocity: enables rapid assortment adjustment based on weekly movement trends.</w:t>
            </w:r>
          </w:p>
        </w:tc>
      </w:tr>
      <w:tr>
        <w:tc>
          <w:tcPr>
            <w:tcW w:type="dxa" w:w="2880"/>
          </w:tcPr>
          <w:p>
            <w:r>
              <w:rPr>
                <w:sz w:val="20"/>
              </w:rPr>
              <w:t>10</w:t>
            </w:r>
          </w:p>
        </w:tc>
        <w:tc>
          <w:tcPr>
            <w:tcW w:type="dxa" w:w="2880"/>
          </w:tcPr>
          <w:p>
            <w:r>
              <w:rPr>
                <w:sz w:val="20"/>
              </w:rPr>
              <w:t>M4 , Price variance (Beer)</w:t>
            </w:r>
          </w:p>
        </w:tc>
        <w:tc>
          <w:tcPr>
            <w:tcW w:type="dxa" w:w="2880"/>
          </w:tcPr>
          <w:p>
            <w:r>
              <w:rPr>
                <w:sz w:val="20"/>
              </w:rPr>
              <w:t>Pricing audit: $6.30 spread across 69 stores reveals pricing inconsistency requiring correction.</w:t>
            </w:r>
          </w:p>
        </w:tc>
      </w:tr>
    </w:tbl>
    <w:p/>
    <w:p>
      <w:pPr>
        <w:jc w:val="center"/>
      </w:pPr>
      <w:r>
        <w:rPr>
          <w:i/>
          <w:color w:val="595659"/>
          <w:sz w:val="18"/>
        </w:rPr>
        <w:t>Table 7: Business question prioritization with strategic rationale</w:t>
      </w:r>
    </w:p>
    <w:p>
      <w:r>
        <w:t>Prioritization Rationale: Our prioritization follows four principles: (1) Revenue and profit impact first, meaning questions that directly inform pricing, promotion, and category management decisions rank highest because they affect DFF's top and bottom line. (2) Strategic alignment, where questions supported by published research on the DFF dataset (Hoch et al., 1995. "Determinants of Store-Level Price Elasticity," JMR, Vol. 32; Chevalier et al., 2003. "Why Don't Prices Rise During Periods of Peak Demand?," AER, Vol. 93) receive higher priority because they address validated business problems. (3) Data richness, so questions leveraging the most complete and granular data (Movement files with 134.9M rows) are ranked higher than those dependent on files with quality issues. (4) Actionability, where questions that produce immediately actionable insights are prioritized over descriptive questions.</w:t>
      </w:r>
    </w:p>
    <w:p>
      <w:r>
        <w:br w:type="page"/>
      </w:r>
    </w:p>
    <w:p>
      <w:pPr>
        <w:pStyle w:val="Heading1"/>
      </w:pPr>
      <w:r>
        <w:rPr>
          <w:color w:val="2F5496"/>
        </w:rPr>
        <w:t>References</w:t>
      </w:r>
    </w:p>
    <w:p>
      <w:r>
        <w:t>1. Chevalier, J.A., Kashyap, A.K., &amp; Rossi, P.E. (2003). "Why Don't Prices Rise During Periods of Peak Demand? Evidence from Scanner Data." American Economic Review, Vol. 93, No. 1, pp. 15-37.</w:t>
      </w:r>
    </w:p>
    <w:p>
      <w:r>
        <w:t>2. Chintagunta, P.K. (2002). "Investigating Category Pricing Behavior at a Retail Chain." Journal of Marketing Research, Vol. 39, No. 2, pp. 141-154.</w:t>
      </w:r>
    </w:p>
    <w:p>
      <w:r>
        <w:t>3. Hoch, S.J., Kim, B.D., Montgomery, A.L., &amp; Rossi, P.E. (1995). "Determinants of Store-Level Price Elasticity." Journal of Marketing Research, Vol. 32, No. 1, pp. 17-29.</w:t>
      </w:r>
    </w:p>
    <w:p>
      <w:r>
        <w:t>4. Montgomery, A.L. (1997). "Creating Micro-Marketing Pricing Strategies Using Supermarket Scanner Data." Marketing Science, Vol. 16, No. 4, pp. 315-337.</w:t>
      </w:r>
    </w:p>
    <w:p>
      <w:r>
        <w:t>5. Pesendorfer, M. (2002). "Retail Sales: A Study of Pricing Behavior in Supermarkets." Journal of Business, Vol. 75, No. 1, pp. 33-66.</w:t>
      </w:r>
    </w:p>
    <w:p>
      <w:r>
        <w:t>6. Kilts Center for Marketing (2013). Dominick's Data Manual and Codebook. University of Chicago Booth School of Business. Available at: https://www.chicagobooth.edu/research/kilts/datasets/dominicks</w:t>
      </w:r>
    </w:p>
    <w:p>
      <w:r>
        <w:t>7. Dominick's Finer Foods Inc. Company History. Available at: https://www.company-histories.com/Dominicks-Finer-Foods-Inc-Company-History.html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