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Report: Design and Implementation of a Data Warehouse for Dominick's Fine Foods</w:t>
      </w:r>
    </w:p>
    <w:p>
      <w:pPr>
        <w:spacing w:after="40"/>
      </w:pPr>
      <w:r/>
      <w:r>
        <w:rPr>
          <w:b/>
        </w:rPr>
        <w:t>Course:</w:t>
      </w:r>
      <w:r>
        <w:t xml:space="preserve"> ISTM 637 – Data Warehousing, Spring 2026  </w:t>
      </w:r>
    </w:p>
    <w:p>
      <w:pPr>
        <w:spacing w:after="40"/>
      </w:pPr>
      <w:r/>
      <w:r>
        <w:rPr>
          <w:b/>
        </w:rPr>
        <w:t>Team:</w:t>
      </w:r>
      <w:r>
        <w:t xml:space="preserve"> Team 1  </w:t>
      </w:r>
    </w:p>
    <w:p>
      <w:pPr>
        <w:spacing w:after="40"/>
      </w:pPr>
      <w:r/>
      <w:r>
        <w:rPr>
          <w:b/>
        </w:rPr>
        <w:t>Members:</w:t>
      </w:r>
      <w:r>
        <w:t xml:space="preserve"> [Member 1 Name], [Member 2 Name], [Member 3 Name], [Member 4 Name]  </w:t>
      </w:r>
    </w:p>
    <w:p>
      <w:pPr>
        <w:spacing w:after="40"/>
      </w:pPr>
      <w:r/>
      <w:r>
        <w:rPr>
          <w:b/>
        </w:rPr>
        <w:t>Group Number:</w:t>
      </w:r>
      <w:r>
        <w:t xml:space="preserve"> 1  </w:t>
      </w:r>
    </w:p>
    <w:p>
      <w:pPr>
        <w:spacing w:after="40"/>
      </w:pPr>
      <w:r/>
      <w:r>
        <w:rPr>
          <w:b/>
        </w:rPr>
        <w:t>Contact Email:</w:t>
      </w:r>
      <w:r>
        <w:t xml:space="preserve"> [team-email@tamu.edu]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DFF Hybrid ETL Pipeline Architecture diagram here</w:t>
            </w:r>
          </w:p>
        </w:tc>
      </w:tr>
    </w:tbl>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3.1 Data Warehouse Logical Design (Star Schema Design)</w:t>
      </w:r>
    </w:p>
    <w:p>
      <w:pPr>
        <w:pStyle w:val="Heading2"/>
      </w:pPr>
      <w:r>
        <w:t>3.2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3.3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3.4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3.5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3.6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3.7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3.8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3.6 and 3.7):</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4.2.5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4.2.6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Data Flow Task (Store Dimension):</w:t>
      </w:r>
      <w:r/>
    </w:p>
    <w:p>
      <w:r/>
      <w:r>
        <w:rPr>
          <w:i/>
        </w:rPr>
        <w:t>[</w:t>
      </w:r>
      <w:r>
        <w:t>Screenshot 16: SSIS Package 3 — DimStore Data Flow</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*[fill after execution]*</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*[fill after execution]*</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*[fill after execution]*</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*[fill after execution]*</w:t>
            </w:r>
          </w:p>
        </w:tc>
        <w:tc>
          <w:tcPr>
            <w:tcW w:type="dxa" w:w="2340"/>
          </w:tcPr>
          <w:p>
            <w:r/>
            <w:r>
              <w:rPr>
                <w:sz w:val="18"/>
              </w:rPr>
              <w:t>✅</w:t>
            </w:r>
          </w:p>
        </w:tc>
      </w:tr>
    </w:tbl>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Each report draws directly from the </w:t>
      </w:r>
      <w:r>
        <w:rPr>
          <w:rFonts w:ascii="Consolas" w:hAnsi="Consolas"/>
          <w:color w:val="C0392B"/>
          <w:sz w:val="18"/>
        </w:rPr>
        <w:t>team1_dw_area</w:t>
      </w:r>
      <w:r>
        <w:t xml:space="preserve"> data mart on SQL Server 2016.</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promotion lift calculation was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The BQ4 analysis was executed in Redshift Query v.2.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[SERVER_NAME\INSTANCE]</w:t>
            </w:r>
          </w:p>
        </w:tc>
      </w:tr>
      <w:tr>
        <w:tc>
          <w:tcPr>
            <w:tcW w:type="dxa" w:w="4680"/>
          </w:tcPr>
          <w:p>
            <w:r/>
            <w:r>
              <w:rPr>
                <w:sz w:val="18"/>
              </w:rPr>
              <w:t>Data Mart Database</w:t>
            </w:r>
          </w:p>
        </w:tc>
        <w:tc>
          <w:tcPr>
            <w:tcW w:type="dxa" w:w="4680"/>
          </w:tcPr>
          <w:p>
            <w:r/>
            <w:r>
              <w:rPr>
                <w:sz w:val="18"/>
              </w:rPr>
              <w:t>`team1_dw_area` on SQL Server 2016, [SERVER_NAME\INSTANCE]</w:t>
            </w:r>
          </w:p>
        </w:tc>
      </w:tr>
      <w:tr>
        <w:tc>
          <w:tcPr>
            <w:tcW w:type="dxa" w:w="4680"/>
          </w:tcPr>
          <w:p>
            <w:r/>
            <w:r>
              <w:rPr>
                <w:sz w:val="18"/>
              </w:rPr>
              <w:t>SSIS Packages (.dtsx)</w:t>
            </w:r>
          </w:p>
        </w:tc>
        <w:tc>
          <w:tcPr>
            <w:tcW w:type="dxa" w:w="4680"/>
          </w:tcPr>
          <w:p>
            <w:r/>
            <w:r>
              <w:rPr>
                <w:sz w:val="18"/>
              </w:rPr>
              <w:t>Visual Studio project folder: `DFF_ETL_Project\` on lab machine</w:t>
            </w:r>
          </w:p>
        </w:tc>
      </w:tr>
      <w:tr>
        <w:tc>
          <w:tcPr>
            <w:tcW w:type="dxa" w:w="4680"/>
          </w:tcPr>
          <w:p>
            <w:r/>
            <w:r>
              <w:rPr>
                <w:sz w:val="18"/>
              </w:rPr>
              <w:t>SSRS Reports (.rdl)</w:t>
            </w:r>
          </w:p>
        </w:tc>
        <w:tc>
          <w:tcPr>
            <w:tcW w:type="dxa" w:w="4680"/>
          </w:tcPr>
          <w:p>
            <w:r/>
            <w:r>
              <w:rPr>
                <w:sz w:val="18"/>
              </w:rPr>
              <w:t>SSRS Report Server: `http://[SERVER_NAME]/ReportServer`</w:t>
            </w:r>
          </w:p>
        </w:tc>
      </w:tr>
      <w:tr>
        <w:tc>
          <w:tcPr>
            <w:tcW w:type="dxa" w:w="4680"/>
          </w:tcPr>
          <w:p>
            <w:r/>
            <w:r>
              <w:rPr>
                <w:sz w:val="18"/>
              </w:rPr>
              <w:t>SSAS Cube (.cube)</w:t>
            </w:r>
          </w:p>
        </w:tc>
        <w:tc>
          <w:tcPr>
            <w:tcW w:type="dxa" w:w="4680"/>
          </w:tcPr>
          <w:p>
            <w:r/>
            <w:r>
              <w:rPr>
                <w:sz w:val="18"/>
              </w:rPr>
              <w:t>SSAS instance: `[SERVER_NAME]\SSAS_INSTANCE`, database: `DFF_Sales_Cube`</w:t>
            </w:r>
          </w:p>
        </w:tc>
      </w:tr>
      <w:tr>
        <w:tc>
          <w:tcPr>
            <w:tcW w:type="dxa" w:w="4680"/>
          </w:tcPr>
          <w:p>
            <w:r/>
            <w:r>
              <w:rPr>
                <w:sz w:val="18"/>
              </w:rPr>
              <w:t>Power BI Dashboard (.pbix)</w:t>
            </w:r>
          </w:p>
        </w:tc>
        <w:tc>
          <w:tcPr>
            <w:tcW w:type="dxa" w:w="4680"/>
          </w:tcPr>
          <w:p>
            <w:r/>
            <w:r>
              <w:rPr>
                <w:sz w:val="18"/>
              </w:rPr>
              <w:t>Local file: `DFF_BQ8_Dashboard.pbix` (shared via Power BI Service if available)</w:t>
            </w:r>
          </w:p>
        </w:tc>
      </w:tr>
      <w:tr>
        <w:tc>
          <w:tcPr>
            <w:tcW w:type="dxa" w:w="4680"/>
          </w:tcPr>
          <w:p>
            <w:r/>
            <w:r>
              <w:rPr>
                <w:sz w:val="18"/>
              </w:rPr>
              <w:t>Redshift Queries</w:t>
            </w:r>
          </w:p>
        </w:tc>
        <w:tc>
          <w:tcPr>
            <w:tcW w:type="dxa" w:w="4680"/>
          </w:tcPr>
          <w:p>
            <w:r/>
            <w:r>
              <w:rPr>
                <w:sz w:val="18"/>
              </w:rPr>
              <w:t>Amazon Redshift Query Editor v.2, cluster: [CLUSTER_NAME]</w:t>
            </w:r>
          </w:p>
        </w:tc>
      </w:tr>
      <w:tr>
        <w:tc>
          <w:tcPr>
            <w:tcW w:type="dxa" w:w="4680"/>
          </w:tcPr>
          <w:p>
            <w:r/>
            <w:r>
              <w:rPr>
                <w:sz w:val="18"/>
              </w:rPr>
              <w:t>SQL Scripts</w:t>
            </w:r>
          </w:p>
        </w:tc>
        <w:tc>
          <w:tcPr>
            <w:tcW w:type="dxa" w:w="4680"/>
          </w:tcPr>
          <w:p>
            <w:r/>
            <w:r>
              <w:rPr>
                <w:sz w:val="18"/>
              </w:rPr>
              <w:t>`report_4/sql/` directory (see Appendix A)</w:t>
            </w:r>
          </w:p>
        </w:tc>
      </w:tr>
      <w:tr>
        <w:tc>
          <w:tcPr>
            <w:tcW w:type="dxa" w:w="4680"/>
          </w:tcPr>
          <w:p>
            <w:r/>
            <w:r>
              <w:rPr>
                <w:sz w:val="18"/>
              </w:rPr>
              <w:t>Mapping Tables (Excel)</w:t>
            </w:r>
          </w:p>
        </w:tc>
        <w:tc>
          <w:tcPr>
            <w:tcW w:type="dxa" w:w="4680"/>
          </w:tcPr>
          <w:p>
            <w:r/>
            <w:r>
              <w:rPr>
                <w:sz w:val="18"/>
              </w:rPr>
              <w:t>`MappingTables.xlsx`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 The Excel version of these tables (</w:t>
      </w:r>
      <w:r>
        <w:rPr>
          <w:rFonts w:ascii="Consolas" w:hAnsi="Consolas"/>
          <w:color w:val="C0392B"/>
          <w:sz w:val="18"/>
        </w:rPr>
        <w:t>MappingTables.xlsx</w:t>
      </w:r>
      <w:r>
        <w:t>) is included as a separate attachment.</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