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Star Schema Diagram</w:t>
      </w:r>
    </w:p>
    <w:p>
      <w:pPr>
        <w:spacing w:after="40"/>
      </w:pPr>
    </w:p>
    <w:p>
      <w:r>
        <w:rPr>
          <w:rFonts w:ascii="Times New Roman" w:hAnsi="Times New Roman"/>
        </w:rPr>
      </w:r>
      <w:r>
        <w:rPr>
          <w:rFonts w:ascii="Times New Roman" w:hAnsi="Times New Roman"/>
          <w:b/>
        </w:rPr>
        <w:t>Figure 2: Star Schema Diagram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Star Schema Diagram</w:t>
      </w:r>
    </w:p>
    <w:p/>
    <w:p>
      <w:pPr>
        <w:spacing w:after="40"/>
      </w:pPr>
    </w:p>
    <w:p>
      <w:r>
        <w:rPr>
          <w:rFonts w:ascii="Times New Roman" w:hAnsi="Times New Roman"/>
        </w:rPr>
      </w:r>
      <w:r>
        <w:rPr>
          <w:rFonts w:ascii="Times New Roman" w:hAnsi="Times New Roman"/>
          <w:i/>
        </w:rPr>
        <w:t>Diagram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