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bhavik.dalal@tamu.edu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nsolas" w:hAnsi="Consolas"/>
          <w:color w:val="C0392B"/>
          <w:sz w:val="18"/>
        </w:rPr>
        <w:t>team1_dw_area</w:t>
      </w:r>
      <w:r>
        <w:t xml:space="preserve"> data mart on SQL Server 2016. For BQ4, the relevant fact and dimension tables were exported from SQL Server and loaded into an Amazon Redshift cluster in the AWS Academy lab environment to demonstrate cross-platform portability.</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 xml:space="preserve">The BQ4 analysis was executed in Redshift Query v.2. To prepare for this, the FactWeeklySales, DimPromotion, and DimCategory tables were exported from </w:t>
      </w:r>
      <w:r>
        <w:rPr>
          <w:rFonts w:ascii="Consolas" w:hAnsi="Consolas"/>
          <w:color w:val="C0392B"/>
          <w:sz w:val="18"/>
        </w:rPr>
        <w:t>team1_dw_area</w:t>
      </w:r>
      <w: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Complete Screenshot Index</w:t>
      </w:r>
    </w:p>
    <w:p>
      <w:r/>
      <w:r>
        <w:rPr>
          <w:b/>
        </w:rPr>
        <w:t>Section 4 — ETL Implementation Evidence (Screenshots 1–29)</w:t>
      </w:r>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p>
      <w:r/>
      <w:r>
        <w:rPr>
          <w:b/>
        </w:rPr>
        <w:t>Section 5 — BI Reporting Evidence (Screenshots 30–41)</w:t>
      </w: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w:t>
            </w:r>
          </w:p>
        </w:tc>
        <w:tc>
          <w:tcPr>
            <w:tcW w:type="dxa" w:w="2340"/>
            <w:shd w:fill="D9E2F3" w:val="clear"/>
          </w:tcPr>
          <w:p>
            <w:r/>
            <w:r>
              <w:rPr>
                <w:b/>
                <w:sz w:val="18"/>
              </w:rPr>
              <w:t>Tool</w:t>
            </w:r>
          </w:p>
        </w:tc>
        <w:tc>
          <w:tcPr>
            <w:tcW w:type="dxa" w:w="2340"/>
            <w:shd w:fill="D9E2F3" w:val="clear"/>
          </w:tcPr>
          <w:p>
            <w:r/>
            <w:r>
              <w:rPr>
                <w:b/>
                <w:sz w:val="18"/>
              </w:rPr>
              <w:t>BQ</w:t>
            </w:r>
          </w:p>
        </w:tc>
        <w:tc>
          <w:tcPr>
            <w:tcW w:type="dxa" w:w="2340"/>
            <w:shd w:fill="D9E2F3" w:val="clear"/>
          </w:tcPr>
          <w:p>
            <w:r/>
            <w:r>
              <w:rPr>
                <w:b/>
                <w:sz w:val="18"/>
              </w:rPr>
              <w:t>Description</w:t>
            </w:r>
          </w:p>
        </w:tc>
      </w:tr>
      <w:tr>
        <w:tc>
          <w:tcPr>
            <w:tcW w:type="dxa" w:w="2340"/>
          </w:tcPr>
          <w:p>
            <w:r/>
            <w:r>
              <w:rPr>
                <w:sz w:val="18"/>
              </w:rPr>
              <w:t>30</w:t>
            </w:r>
          </w:p>
        </w:tc>
        <w:tc>
          <w:tcPr>
            <w:tcW w:type="dxa" w:w="2340"/>
          </w:tcPr>
          <w:p>
            <w:r/>
            <w:r>
              <w:rPr>
                <w:sz w:val="18"/>
              </w:rPr>
              <w:t>SSRS</w:t>
            </w:r>
          </w:p>
        </w:tc>
        <w:tc>
          <w:tcPr>
            <w:tcW w:type="dxa" w:w="2340"/>
          </w:tcPr>
          <w:p>
            <w:r/>
            <w:r>
              <w:rPr>
                <w:sz w:val="18"/>
              </w:rPr>
              <w:t>BQ2</w:t>
            </w:r>
          </w:p>
        </w:tc>
        <w:tc>
          <w:tcPr>
            <w:tcW w:type="dxa" w:w="2340"/>
          </w:tcPr>
          <w:p>
            <w:r/>
            <w:r>
              <w:rPr>
                <w:sz w:val="18"/>
              </w:rPr>
              <w:t>SSRS Report Designer — BQ2 Weekly SDR Sales trend report layout</w:t>
            </w:r>
          </w:p>
        </w:tc>
      </w:tr>
      <w:tr>
        <w:tc>
          <w:tcPr>
            <w:tcW w:type="dxa" w:w="2340"/>
          </w:tcPr>
          <w:p>
            <w:r/>
            <w:r>
              <w:rPr>
                <w:sz w:val="18"/>
              </w:rPr>
              <w:t>31</w:t>
            </w:r>
          </w:p>
        </w:tc>
        <w:tc>
          <w:tcPr>
            <w:tcW w:type="dxa" w:w="2340"/>
          </w:tcPr>
          <w:p>
            <w:r/>
            <w:r>
              <w:rPr>
                <w:sz w:val="18"/>
              </w:rPr>
              <w:t>SSRS</w:t>
            </w:r>
          </w:p>
        </w:tc>
        <w:tc>
          <w:tcPr>
            <w:tcW w:type="dxa" w:w="2340"/>
          </w:tcPr>
          <w:p>
            <w:r/>
            <w:r>
              <w:rPr>
                <w:sz w:val="18"/>
              </w:rPr>
              <w:t>BQ2</w:t>
            </w:r>
          </w:p>
        </w:tc>
        <w:tc>
          <w:tcPr>
            <w:tcW w:type="dxa" w:w="2340"/>
          </w:tcPr>
          <w:p>
            <w:r/>
            <w:r>
              <w:rPr>
                <w:sz w:val="18"/>
              </w:rPr>
              <w:t>SSRS Report Preview — BQ2 line chart showing weekly Soft Drink unit sales</w:t>
            </w:r>
          </w:p>
        </w:tc>
      </w:tr>
      <w:tr>
        <w:tc>
          <w:tcPr>
            <w:tcW w:type="dxa" w:w="2340"/>
          </w:tcPr>
          <w:p>
            <w:r/>
            <w:r>
              <w:rPr>
                <w:sz w:val="18"/>
              </w:rPr>
              <w:t>32</w:t>
            </w:r>
          </w:p>
        </w:tc>
        <w:tc>
          <w:tcPr>
            <w:tcW w:type="dxa" w:w="2340"/>
          </w:tcPr>
          <w:p>
            <w:r/>
            <w:r>
              <w:rPr>
                <w:sz w:val="18"/>
              </w:rPr>
              <w:t>SSRS</w:t>
            </w:r>
          </w:p>
        </w:tc>
        <w:tc>
          <w:tcPr>
            <w:tcW w:type="dxa" w:w="2340"/>
          </w:tcPr>
          <w:p>
            <w:r/>
            <w:r>
              <w:rPr>
                <w:sz w:val="18"/>
              </w:rPr>
              <w:t>BQ9</w:t>
            </w:r>
          </w:p>
        </w:tc>
        <w:tc>
          <w:tcPr>
            <w:tcW w:type="dxa" w:w="2340"/>
          </w:tcPr>
          <w:p>
            <w:r/>
            <w:r>
              <w:rPr>
                <w:sz w:val="18"/>
              </w:rPr>
              <w:t>SSRS Report Designer — BQ9 parameterized Cracker ranking report layout</w:t>
            </w:r>
          </w:p>
        </w:tc>
      </w:tr>
      <w:tr>
        <w:tc>
          <w:tcPr>
            <w:tcW w:type="dxa" w:w="2340"/>
          </w:tcPr>
          <w:p>
            <w:r/>
            <w:r>
              <w:rPr>
                <w:sz w:val="18"/>
              </w:rPr>
              <w:t>33</w:t>
            </w:r>
          </w:p>
        </w:tc>
        <w:tc>
          <w:tcPr>
            <w:tcW w:type="dxa" w:w="2340"/>
          </w:tcPr>
          <w:p>
            <w:r/>
            <w:r>
              <w:rPr>
                <w:sz w:val="18"/>
              </w:rPr>
              <w:t>SSRS</w:t>
            </w:r>
          </w:p>
        </w:tc>
        <w:tc>
          <w:tcPr>
            <w:tcW w:type="dxa" w:w="2340"/>
          </w:tcPr>
          <w:p>
            <w:r/>
            <w:r>
              <w:rPr>
                <w:sz w:val="18"/>
              </w:rPr>
              <w:t>BQ9</w:t>
            </w:r>
          </w:p>
        </w:tc>
        <w:tc>
          <w:tcPr>
            <w:tcW w:type="dxa" w:w="2340"/>
          </w:tcPr>
          <w:p>
            <w:r/>
            <w:r>
              <w:rPr>
                <w:sz w:val="18"/>
              </w:rPr>
              <w:t>SSRS Report Preview — BQ9 table showing top 10 products for selected week</w:t>
            </w:r>
          </w:p>
        </w:tc>
      </w:tr>
      <w:tr>
        <w:tc>
          <w:tcPr>
            <w:tcW w:type="dxa" w:w="2340"/>
          </w:tcPr>
          <w:p>
            <w:r/>
            <w:r>
              <w:rPr>
                <w:sz w:val="18"/>
              </w:rPr>
              <w:t>34</w:t>
            </w:r>
          </w:p>
        </w:tc>
        <w:tc>
          <w:tcPr>
            <w:tcW w:type="dxa" w:w="2340"/>
          </w:tcPr>
          <w:p>
            <w:r/>
            <w:r>
              <w:rPr>
                <w:sz w:val="18"/>
              </w:rPr>
              <w:t>SSAS</w:t>
            </w:r>
          </w:p>
        </w:tc>
        <w:tc>
          <w:tcPr>
            <w:tcW w:type="dxa" w:w="2340"/>
          </w:tcPr>
          <w:p>
            <w:r/>
            <w:r>
              <w:rPr>
                <w:sz w:val="18"/>
              </w:rPr>
              <w:t>BQ3</w:t>
            </w:r>
          </w:p>
        </w:tc>
        <w:tc>
          <w:tcPr>
            <w:tcW w:type="dxa" w:w="2340"/>
          </w:tcPr>
          <w:p>
            <w:r/>
            <w:r>
              <w:rPr>
                <w:sz w:val="18"/>
              </w:rPr>
              <w:t>Visual Studio — SSAS Cube structure in Solution Explorer</w:t>
            </w:r>
          </w:p>
        </w:tc>
      </w:tr>
      <w:tr>
        <w:tc>
          <w:tcPr>
            <w:tcW w:type="dxa" w:w="2340"/>
          </w:tcPr>
          <w:p>
            <w:r/>
            <w:r>
              <w:rPr>
                <w:sz w:val="18"/>
              </w:rPr>
              <w:t>35</w:t>
            </w:r>
          </w:p>
        </w:tc>
        <w:tc>
          <w:tcPr>
            <w:tcW w:type="dxa" w:w="2340"/>
          </w:tcPr>
          <w:p>
            <w:r/>
            <w:r>
              <w:rPr>
                <w:sz w:val="18"/>
              </w:rPr>
              <w:t>SSAS</w:t>
            </w:r>
          </w:p>
        </w:tc>
        <w:tc>
          <w:tcPr>
            <w:tcW w:type="dxa" w:w="2340"/>
          </w:tcPr>
          <w:p>
            <w:r/>
            <w:r>
              <w:rPr>
                <w:sz w:val="18"/>
              </w:rPr>
              <w:t>BQ3</w:t>
            </w:r>
          </w:p>
        </w:tc>
        <w:tc>
          <w:tcPr>
            <w:tcW w:type="dxa" w:w="2340"/>
          </w:tcPr>
          <w:p>
            <w:r/>
            <w:r>
              <w:rPr>
                <w:sz w:val="18"/>
              </w:rPr>
              <w:t>SSAS Cube Browser — BQ3 pivot: deal_type vs AVG(units_sold)</w:t>
            </w:r>
          </w:p>
        </w:tc>
      </w:tr>
      <w:tr>
        <w:tc>
          <w:tcPr>
            <w:tcW w:type="dxa" w:w="2340"/>
          </w:tcPr>
          <w:p>
            <w:r/>
            <w:r>
              <w:rPr>
                <w:sz w:val="18"/>
              </w:rPr>
              <w:t>36</w:t>
            </w:r>
          </w:p>
        </w:tc>
        <w:tc>
          <w:tcPr>
            <w:tcW w:type="dxa" w:w="2340"/>
          </w:tcPr>
          <w:p>
            <w:r/>
            <w:r>
              <w:rPr>
                <w:sz w:val="18"/>
              </w:rPr>
              <w:t>SSAS</w:t>
            </w:r>
          </w:p>
        </w:tc>
        <w:tc>
          <w:tcPr>
            <w:tcW w:type="dxa" w:w="2340"/>
          </w:tcPr>
          <w:p>
            <w:r/>
            <w:r>
              <w:rPr>
                <w:sz w:val="18"/>
              </w:rPr>
              <w:t>BQ3</w:t>
            </w:r>
          </w:p>
        </w:tc>
        <w:tc>
          <w:tcPr>
            <w:tcW w:type="dxa" w:w="2340"/>
          </w:tcPr>
          <w:p>
            <w:r/>
            <w:r>
              <w:rPr>
                <w:sz w:val="18"/>
              </w:rPr>
              <w:t>SSAS Cube Browser — drill-down by year and quarter</w:t>
            </w:r>
          </w:p>
        </w:tc>
      </w:tr>
      <w:tr>
        <w:tc>
          <w:tcPr>
            <w:tcW w:type="dxa" w:w="2340"/>
          </w:tcPr>
          <w:p>
            <w:r/>
            <w:r>
              <w:rPr>
                <w:sz w:val="18"/>
              </w:rPr>
              <w:t>37</w:t>
            </w:r>
          </w:p>
        </w:tc>
        <w:tc>
          <w:tcPr>
            <w:tcW w:type="dxa" w:w="2340"/>
          </w:tcPr>
          <w:p>
            <w:r/>
            <w:r>
              <w:rPr>
                <w:sz w:val="18"/>
              </w:rPr>
              <w:t>Redshift</w:t>
            </w:r>
          </w:p>
        </w:tc>
        <w:tc>
          <w:tcPr>
            <w:tcW w:type="dxa" w:w="2340"/>
          </w:tcPr>
          <w:p>
            <w:r/>
            <w:r>
              <w:rPr>
                <w:sz w:val="18"/>
              </w:rPr>
              <w:t>BQ4</w:t>
            </w:r>
          </w:p>
        </w:tc>
        <w:tc>
          <w:tcPr>
            <w:tcW w:type="dxa" w:w="2340"/>
          </w:tcPr>
          <w:p>
            <w:r/>
            <w:r>
              <w:rPr>
                <w:sz w:val="18"/>
              </w:rPr>
              <w:t>Redshift Query v.2 — query editor showing BQ4 promotion lift SQL</w:t>
            </w:r>
          </w:p>
        </w:tc>
      </w:tr>
      <w:tr>
        <w:tc>
          <w:tcPr>
            <w:tcW w:type="dxa" w:w="2340"/>
          </w:tcPr>
          <w:p>
            <w:r/>
            <w:r>
              <w:rPr>
                <w:sz w:val="18"/>
              </w:rPr>
              <w:t>38</w:t>
            </w:r>
          </w:p>
        </w:tc>
        <w:tc>
          <w:tcPr>
            <w:tcW w:type="dxa" w:w="2340"/>
          </w:tcPr>
          <w:p>
            <w:r/>
            <w:r>
              <w:rPr>
                <w:sz w:val="18"/>
              </w:rPr>
              <w:t>Redshift</w:t>
            </w:r>
          </w:p>
        </w:tc>
        <w:tc>
          <w:tcPr>
            <w:tcW w:type="dxa" w:w="2340"/>
          </w:tcPr>
          <w:p>
            <w:r/>
            <w:r>
              <w:rPr>
                <w:sz w:val="18"/>
              </w:rPr>
              <w:t>BQ4</w:t>
            </w:r>
          </w:p>
        </w:tc>
        <w:tc>
          <w:tcPr>
            <w:tcW w:type="dxa" w:w="2340"/>
          </w:tcPr>
          <w:p>
            <w:r/>
            <w:r>
              <w:rPr>
                <w:sz w:val="18"/>
              </w:rPr>
              <w:t>Redshift Query v.2 — BQ4 results: lift by deal type</w:t>
            </w:r>
          </w:p>
        </w:tc>
      </w:tr>
      <w:tr>
        <w:tc>
          <w:tcPr>
            <w:tcW w:type="dxa" w:w="2340"/>
          </w:tcPr>
          <w:p>
            <w:r/>
            <w:r>
              <w:rPr>
                <w:sz w:val="18"/>
              </w:rPr>
              <w:t>39</w:t>
            </w:r>
          </w:p>
        </w:tc>
        <w:tc>
          <w:tcPr>
            <w:tcW w:type="dxa" w:w="2340"/>
          </w:tcPr>
          <w:p>
            <w:r/>
            <w:r>
              <w:rPr>
                <w:sz w:val="18"/>
              </w:rPr>
              <w:t>Power BI</w:t>
            </w:r>
          </w:p>
        </w:tc>
        <w:tc>
          <w:tcPr>
            <w:tcW w:type="dxa" w:w="2340"/>
          </w:tcPr>
          <w:p>
            <w:r/>
            <w:r>
              <w:rPr>
                <w:sz w:val="18"/>
              </w:rPr>
              <w:t>BQ8</w:t>
            </w:r>
          </w:p>
        </w:tc>
        <w:tc>
          <w:tcPr>
            <w:tcW w:type="dxa" w:w="2340"/>
          </w:tcPr>
          <w:p>
            <w:r/>
            <w:r>
              <w:rPr>
                <w:sz w:val="18"/>
              </w:rPr>
              <w:t>Power BI — Data model view showing star schema connections</w:t>
            </w:r>
          </w:p>
        </w:tc>
      </w:tr>
      <w:tr>
        <w:tc>
          <w:tcPr>
            <w:tcW w:type="dxa" w:w="2340"/>
          </w:tcPr>
          <w:p>
            <w:r/>
            <w:r>
              <w:rPr>
                <w:sz w:val="18"/>
              </w:rPr>
              <w:t>40</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store quartile bar chart + demographic table</w:t>
            </w:r>
          </w:p>
        </w:tc>
      </w:tr>
      <w:tr>
        <w:tc>
          <w:tcPr>
            <w:tcW w:type="dxa" w:w="2340"/>
          </w:tcPr>
          <w:p>
            <w:r/>
            <w:r>
              <w:rPr>
                <w:sz w:val="18"/>
              </w:rPr>
              <w:t>41</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