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sz w:val="28"/>
        </w:rPr>
        <w:t>Section 1: Introduction</w:t>
      </w:r>
    </w:p>
    <w:p>
      <w:pPr>
        <w:spacing w:after="40"/>
      </w:pPr>
    </w:p>
    <w:p>
      <w:pPr>
        <w:pStyle w:val="Heading2"/>
      </w:pPr>
      <w:r>
        <w:rPr>
          <w:rFonts w:ascii="Times New Roman" w:hAnsi="Times New Roman"/>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HOLAP (Hybrid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555555"/>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sz w:val="28"/>
        </w:rPr>
        <w:t>Section 2: Business Questions and Substantiations</w:t>
      </w:r>
    </w:p>
    <w:p>
      <w:pPr>
        <w:spacing w:after="40"/>
      </w:pPr>
    </w:p>
    <w:p>
      <w:pPr>
        <w:pStyle w:val="Heading2"/>
      </w:pPr>
      <w:r>
        <w:rPr>
          <w:rFonts w:ascii="Times New Roman" w:hAnsi="Times New Roman"/>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sz w:val="26"/>
        </w:rPr>
        <w:t>3.2 Data Warehouse Logical Design (Star Schema Design)</w:t>
      </w:r>
    </w:p>
    <w:p>
      <w:pPr>
        <w:spacing w:after="40"/>
      </w:pPr>
    </w:p>
    <w:p>
      <w:pPr>
        <w:pStyle w:val="Heading2"/>
      </w:pPr>
      <w:r>
        <w:rPr>
          <w:rFonts w:ascii="Times New Roman" w:hAnsi="Times New Roman"/>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555555"/>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sz w:val="28"/>
        </w:rPr>
        <w:t>Section 4: Data Cleaning and Integration</w:t>
      </w:r>
    </w:p>
    <w:p>
      <w:pPr>
        <w:pStyle w:val="Heading2"/>
      </w:pPr>
      <w:r>
        <w:rPr>
          <w:rFonts w:ascii="Times New Roman" w:hAnsi="Times New Roman"/>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555555"/>
          <w:sz w:val="24"/>
        </w:rPr>
        <w:t>Screenshot 1</w:t>
      </w:r>
    </w:p>
    <w:p/>
    <w:p>
      <w:pPr>
        <w:spacing w:after="40"/>
      </w:pPr>
    </w:p>
    <w:p>
      <w:pPr>
        <w:pStyle w:val="Heading2"/>
      </w:pPr>
      <w:r>
        <w:rPr>
          <w:rFonts w:ascii="Times New Roman" w:hAnsi="Times New Roman"/>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C0392B"/>
          <w:sz w:val="24"/>
        </w:rPr>
        <w:t>team1_staging_area</w:t>
      </w:r>
      <w:r>
        <w:rPr>
          <w:rFonts w:ascii="Times New Roman" w:hAnsi="Times New Roman"/>
        </w:rPr>
        <w:t>. The complete SQL statements are in Appendix A (</w:t>
      </w:r>
      <w:r>
        <w:rPr>
          <w:rFonts w:ascii="Courier New" w:hAnsi="Courier New"/>
          <w:color w:val="C0392B"/>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555555"/>
          <w:sz w:val="24"/>
        </w:rPr>
        <w:t>Screenshot 2</w:t>
      </w:r>
    </w:p>
    <w:p/>
    <w:p>
      <w:pPr>
        <w:spacing w:after="40"/>
      </w:pPr>
    </w:p>
    <w:p>
      <w:pPr>
        <w:pStyle w:val="Heading2"/>
      </w:pPr>
      <w:r>
        <w:rPr>
          <w:rFonts w:ascii="Times New Roman" w:hAnsi="Times New Roman"/>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C0392B"/>
          <w:sz w:val="24"/>
        </w:rPr>
        <w:t>team1_dw_area</w:t>
      </w:r>
      <w:r>
        <w:rPr>
          <w:rFonts w:ascii="Times New Roman" w:hAnsi="Times New Roman"/>
        </w:rPr>
        <w:t>, with dimensions created first to enable foreign key constraints. The complete SQL is in Appendix A (</w:t>
      </w:r>
      <w:r>
        <w:rPr>
          <w:rFonts w:ascii="Courier New" w:hAnsi="Courier New"/>
          <w:color w:val="C0392B"/>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555555"/>
          <w:sz w:val="24"/>
        </w:rPr>
        <w:t>Screenshot 3</w:t>
      </w:r>
    </w:p>
    <w:p/>
    <w:p>
      <w:pPr>
        <w:spacing w:after="40"/>
      </w:pPr>
    </w:p>
    <w:p>
      <w:pPr>
        <w:pStyle w:val="Heading2"/>
      </w:pPr>
      <w:r>
        <w:rPr>
          <w:rFonts w:ascii="Times New Roman" w:hAnsi="Times New Roman"/>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555555"/>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10</w:t>
      </w:r>
    </w:p>
    <w:p/>
    <w:p>
      <w:pPr>
        <w:spacing w:after="40"/>
      </w:pPr>
    </w:p>
    <w:p>
      <w:pPr>
        <w:pStyle w:val="Heading2"/>
      </w:pPr>
      <w:r>
        <w:rPr>
          <w:rFonts w:ascii="Times New Roman" w:hAnsi="Times New Roman"/>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14</w:t>
      </w:r>
    </w:p>
    <w:p/>
    <w:p>
      <w:pPr>
        <w:spacing w:after="40"/>
      </w:pPr>
    </w:p>
    <w:p>
      <w:pPr>
        <w:pStyle w:val="Heading2"/>
      </w:pPr>
      <w:r>
        <w:rPr>
          <w:rFonts w:ascii="Times New Roman" w:hAnsi="Times New Roman"/>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17</w:t>
      </w:r>
    </w:p>
    <w:p/>
    <w:p>
      <w:pPr>
        <w:spacing w:after="40"/>
      </w:pPr>
    </w:p>
    <w:p>
      <w:pPr>
        <w:pStyle w:val="Heading3"/>
      </w:pPr>
      <w:r>
        <w:rPr>
          <w:rFonts w:ascii="Times New Roman" w:hAnsi="Times New Roman"/>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555555"/>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22</w:t>
      </w:r>
    </w:p>
    <w:p/>
    <w:p>
      <w:pPr>
        <w:spacing w:after="40"/>
      </w:pPr>
    </w:p>
    <w:p>
      <w:pPr>
        <w:pStyle w:val="Heading3"/>
      </w:pPr>
      <w:r>
        <w:rPr>
          <w:rFonts w:ascii="Times New Roman" w:hAnsi="Times New Roman"/>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C0392B"/>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23</w:t>
      </w:r>
    </w:p>
    <w:p/>
    <w:p>
      <w:pPr>
        <w:spacing w:after="40"/>
      </w:pPr>
    </w:p>
    <w:p>
      <w:pPr>
        <w:spacing w:after="40"/>
      </w:pPr>
    </w:p>
    <w:p>
      <w:pPr>
        <w:spacing w:after="40"/>
      </w:pPr>
    </w:p>
    <w:p>
      <w:pPr>
        <w:pStyle w:val="Heading2"/>
      </w:pPr>
      <w:r>
        <w:rPr>
          <w:rFonts w:ascii="Times New Roman" w:hAnsi="Times New Roman"/>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24</w:t>
      </w:r>
    </w:p>
    <w:p/>
    <w:p>
      <w:pPr>
        <w:spacing w:after="40"/>
      </w:pPr>
    </w:p>
    <w:p>
      <w:pPr>
        <w:pStyle w:val="Heading2"/>
      </w:pPr>
      <w:r>
        <w:rPr>
          <w:rFonts w:ascii="Times New Roman" w:hAnsi="Times New Roman"/>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4"/>
        </w:rPr>
        <w:t>Screenshot 29</w:t>
      </w:r>
    </w:p>
    <w:p/>
    <w:p>
      <w:pPr>
        <w:spacing w:after="40"/>
      </w:pPr>
    </w:p>
    <w:p>
      <w:pPr>
        <w:pStyle w:val="Heading2"/>
      </w:pPr>
      <w:r>
        <w:rPr>
          <w:rFonts w:ascii="Times New Roman" w:hAnsi="Times New Roman"/>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C0392B"/>
          <w:sz w:val="24"/>
        </w:rPr>
        <w:t>OK = 1</w:t>
      </w:r>
      <w:r>
        <w:rPr>
          <w:rFonts w:ascii="Times New Roman" w:hAnsi="Times New Roman"/>
        </w:rPr>
        <w:t xml:space="preserve"> (retaining only quality-validated observations) and </w:t>
      </w:r>
      <w:r>
        <w:rPr>
          <w:rFonts w:ascii="Courier New" w:hAnsi="Courier New"/>
          <w:color w:val="C0392B"/>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sz w:val="28"/>
        </w:rPr>
        <w:t>Section 5: BI Reporting</w:t>
      </w:r>
    </w:p>
    <w:p>
      <w:pPr>
        <w:spacing w:after="40"/>
      </w:pPr>
    </w:p>
    <w:p>
      <w:r>
        <w:rPr>
          <w:rFonts w:ascii="Times New Roman" w:hAnsi="Times New Roman"/>
        </w:rP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C0392B"/>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sz w:val="26"/>
        </w:rPr>
        <w:t>5.1 Reporting Plan</w:t>
      </w:r>
    </w:p>
    <w:p>
      <w:pPr>
        <w:spacing w:after="40"/>
      </w:pPr>
    </w:p>
    <w:p>
      <w:pPr>
        <w:pStyle w:val="Heading3"/>
      </w:pPr>
      <w:r>
        <w:rPr>
          <w:rFonts w:ascii="Times New Roman" w:hAnsi="Times New Roman"/>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pPr>
        <w:pStyle w:val="Heading3"/>
      </w:pPr>
      <w:r>
        <w:rPr>
          <w:rFonts w:ascii="Times New Roman" w:hAnsi="Times New Roman"/>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w:t>
      </w:r>
    </w:p>
    <w:p>
      <w:pPr>
        <w:spacing w:after="40"/>
      </w:pPr>
    </w:p>
    <w:p>
      <w:pPr>
        <w:pStyle w:val="Heading2"/>
      </w:pPr>
      <w:r>
        <w:rPr>
          <w:rFonts w:ascii="Times New Roman" w:hAnsi="Times New Roman"/>
          <w:sz w:val="26"/>
        </w:rPr>
        <w:t>5.2 Report Implementation</w:t>
      </w:r>
    </w:p>
    <w:p>
      <w:pPr>
        <w:spacing w:after="40"/>
      </w:pPr>
    </w:p>
    <w:p>
      <w:pPr>
        <w:pStyle w:val="Heading3"/>
      </w:pPr>
      <w:r>
        <w:rPr>
          <w:rFonts w:ascii="Times New Roman" w:hAnsi="Times New Roman"/>
          <w:sz w:val="24"/>
        </w:rPr>
        <w:t>5.2.1 Reports from Independent Data Marts Using SSRS</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 xml:space="preserve">The SSRS report connects to </w:t>
      </w:r>
      <w:r>
        <w:rPr>
          <w:rFonts w:ascii="Courier New" w:hAnsi="Courier New"/>
          <w:color w:val="C0392B"/>
          <w:sz w:val="24"/>
        </w:rPr>
        <w:t>team1_dw_area</w:t>
      </w:r>
      <w:r>
        <w:rPr>
          <w:rFonts w:ascii="Times New Roman" w:hAnsi="Times New Roman"/>
        </w:rP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30 — INSERT HERE]</w:t>
            </w:r>
          </w:p>
        </w:tc>
      </w:tr>
      <w:tr>
        <w:trPr>
          <w:trHeight w:val="500" w:hRule="atLeast"/>
        </w:trPr>
        <w:tc>
          <w:tcPr>
            <w:tcW w:type="dxa" w:w="9360"/>
            <w:shd w:fill="FAFAFA" w:val="clear"/>
          </w:tcPr>
          <w:p>
            <w:pPr>
              <w:jc w:val="center"/>
            </w:pPr>
            <w:r/>
            <w:r>
              <w:rPr>
                <w:i/>
                <w:color w:val="555555"/>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31 — INSERT HERE]</w:t>
            </w:r>
          </w:p>
        </w:tc>
      </w:tr>
      <w:tr>
        <w:trPr>
          <w:trHeight w:val="500" w:hRule="atLeast"/>
        </w:trPr>
        <w:tc>
          <w:tcPr>
            <w:tcW w:type="dxa" w:w="9360"/>
            <w:shd w:fill="FAFAFA" w:val="clear"/>
          </w:tcPr>
          <w:p>
            <w:pPr>
              <w:jc w:val="center"/>
            </w:pPr>
            <w:r/>
            <w:r>
              <w:rPr>
                <w:i/>
                <w:color w:val="555555"/>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32 — INSERT HERE]</w:t>
            </w:r>
          </w:p>
        </w:tc>
      </w:tr>
      <w:tr>
        <w:trPr>
          <w:trHeight w:val="500" w:hRule="atLeast"/>
        </w:trPr>
        <w:tc>
          <w:tcPr>
            <w:tcW w:type="dxa" w:w="9360"/>
            <w:shd w:fill="FAFAFA" w:val="clear"/>
          </w:tcPr>
          <w:p>
            <w:pPr>
              <w:jc w:val="center"/>
            </w:pPr>
            <w:r/>
            <w:r>
              <w:rPr>
                <w:i/>
                <w:color w:val="555555"/>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33 — INSERT HERE]</w:t>
            </w:r>
          </w:p>
        </w:tc>
      </w:tr>
      <w:tr>
        <w:trPr>
          <w:trHeight w:val="500" w:hRule="atLeast"/>
        </w:trPr>
        <w:tc>
          <w:tcPr>
            <w:tcW w:type="dxa" w:w="9360"/>
            <w:shd w:fill="FAFAFA" w:val="clear"/>
          </w:tcPr>
          <w:p>
            <w:pPr>
              <w:jc w:val="center"/>
            </w:pPr>
            <w:r/>
            <w:r>
              <w:rPr>
                <w:i/>
                <w:color w:val="555555"/>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with the following structure:</w:t>
      </w:r>
    </w:p>
    <w:p>
      <w:pPr>
        <w:pStyle w:val="ListBullet"/>
      </w:pPr>
      <w:r>
        <w:rPr>
          <w:rFonts w:ascii="Times New Roman" w:hAnsi="Times New Roman"/>
        </w:rPr>
      </w:r>
      <w:r>
        <w:rPr>
          <w:rFonts w:ascii="Times New Roman" w:hAnsi="Times New Roman"/>
          <w:b/>
        </w:rPr>
        <w:t>Data Source:</w:t>
      </w:r>
      <w:r>
        <w:rPr>
          <w:rFonts w:ascii="Times New Roman" w:hAnsi="Times New Roman"/>
        </w:rPr>
        <w:t xml:space="preserve"> </w:t>
      </w:r>
      <w:r>
        <w:rPr>
          <w:rFonts w:ascii="Courier New" w:hAnsi="Courier New"/>
          <w:color w:val="C0392B"/>
          <w:sz w:val="24"/>
        </w:rPr>
        <w:t>team1_dw_area</w:t>
      </w:r>
      <w:r>
        <w:rPr>
          <w:rFonts w:ascii="Times New Roman" w:hAnsi="Times New Roman"/>
        </w:rPr>
        <w:t xml:space="preserve"> on SQL Server 2016</w:t>
      </w:r>
    </w:p>
    <w:p>
      <w:pPr>
        <w:pStyle w:val="ListBullet"/>
      </w:pPr>
      <w:r>
        <w:rPr>
          <w:rFonts w:ascii="Times New Roman" w:hAnsi="Times New Roman"/>
        </w:rPr>
      </w:r>
      <w:r>
        <w:rPr>
          <w:rFonts w:ascii="Times New Roman" w:hAnsi="Times New Roman"/>
          <w:b/>
        </w:rPr>
        <w:t>Data Source View:</w:t>
      </w:r>
      <w:r>
        <w:rPr>
          <w:rFonts w:ascii="Times New Roman" w:hAnsi="Times New Roman"/>
        </w:rPr>
        <w:t xml:space="preserve"> FactWeeklySales with all five dimension tables</w:t>
      </w:r>
    </w:p>
    <w:p>
      <w:pPr>
        <w:pStyle w:val="ListBullet"/>
      </w:pPr>
      <w:r>
        <w:rPr>
          <w:rFonts w:ascii="Times New Roman" w:hAnsi="Times New Roman"/>
        </w:rPr>
      </w:r>
      <w:r>
        <w:rPr>
          <w:rFonts w:ascii="Times New Roman" w:hAnsi="Times New Roman"/>
          <w:b/>
        </w:rPr>
        <w:t>Cube:</w:t>
      </w:r>
      <w:r>
        <w:rPr>
          <w:rFonts w:ascii="Times New Roman" w:hAnsi="Times New Roman"/>
        </w:rPr>
        <w:t xml:space="preserve"> DFF_Sales_Cube with measures: SUM(units_sold), SUM(revenue), AVG(units_sold)</w:t>
      </w:r>
    </w:p>
    <w:p>
      <w:pPr>
        <w:pStyle w:val="ListBullet"/>
      </w:pPr>
      <w:r>
        <w:rPr>
          <w:rFonts w:ascii="Times New Roman" w:hAnsi="Times New Roman"/>
        </w:rPr>
      </w:r>
      <w:r>
        <w:rPr>
          <w:rFonts w:ascii="Times New Roman" w:hAnsi="Times New Roman"/>
          <w:b/>
        </w:rPr>
        <w:t>Dimensions:</w:t>
      </w:r>
      <w:r>
        <w:rPr>
          <w:rFonts w:ascii="Times New Roman" w:hAnsi="Times New Roman"/>
        </w:rPr>
        <w:t xml:space="preserve"> DimPromotion (deal_type, is_promoted), DimCategory (category_code), DimTime (year, quarter)</w:t>
      </w:r>
    </w:p>
    <w:p>
      <w:pPr>
        <w:spacing w:after="40"/>
      </w:pPr>
    </w:p>
    <w:p>
      <w:r>
        <w:rPr>
          <w:rFonts w:ascii="Times New Roman" w:hAnsi="Times New Roman"/>
        </w:rP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34 — INSERT HERE]</w:t>
            </w:r>
          </w:p>
        </w:tc>
      </w:tr>
      <w:tr>
        <w:trPr>
          <w:trHeight w:val="500" w:hRule="atLeast"/>
        </w:trPr>
        <w:tc>
          <w:tcPr>
            <w:tcW w:type="dxa" w:w="9360"/>
            <w:shd w:fill="FAFAFA" w:val="clear"/>
          </w:tcPr>
          <w:p>
            <w:pPr>
              <w:jc w:val="center"/>
            </w:pPr>
            <w:r/>
            <w:r>
              <w:rPr>
                <w:i/>
                <w:color w:val="555555"/>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35 — INSERT HERE]</w:t>
            </w:r>
          </w:p>
        </w:tc>
      </w:tr>
      <w:tr>
        <w:trPr>
          <w:trHeight w:val="500" w:hRule="atLeast"/>
        </w:trPr>
        <w:tc>
          <w:tcPr>
            <w:tcW w:type="dxa" w:w="9360"/>
            <w:shd w:fill="FAFAFA" w:val="clear"/>
          </w:tcPr>
          <w:p>
            <w:pPr>
              <w:jc w:val="center"/>
            </w:pPr>
            <w:r/>
            <w:r>
              <w:rPr>
                <w:i/>
                <w:color w:val="555555"/>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36 — INSERT HERE]</w:t>
            </w:r>
          </w:p>
        </w:tc>
      </w:tr>
      <w:tr>
        <w:trPr>
          <w:trHeight w:val="500" w:hRule="atLeast"/>
        </w:trPr>
        <w:tc>
          <w:tcPr>
            <w:tcW w:type="dxa" w:w="9360"/>
            <w:shd w:fill="FAFAFA" w:val="clear"/>
          </w:tcPr>
          <w:p>
            <w:pPr>
              <w:jc w:val="center"/>
            </w:pPr>
            <w:r/>
            <w:r>
              <w:rPr>
                <w:i/>
                <w:color w:val="555555"/>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To prepare for this, the FactWeeklySales, DimPromotion, and DimCategory tables were exported from </w:t>
      </w:r>
      <w:r>
        <w:rPr>
          <w:rFonts w:ascii="Courier New" w:hAnsi="Courier New"/>
          <w:color w:val="C0392B"/>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37 — INSERT HERE]</w:t>
            </w:r>
          </w:p>
        </w:tc>
      </w:tr>
      <w:tr>
        <w:trPr>
          <w:trHeight w:val="500" w:hRule="atLeast"/>
        </w:trPr>
        <w:tc>
          <w:tcPr>
            <w:tcW w:type="dxa" w:w="9360"/>
            <w:shd w:fill="FAFAFA" w:val="clear"/>
          </w:tcPr>
          <w:p>
            <w:pPr>
              <w:jc w:val="center"/>
            </w:pPr>
            <w:r/>
            <w:r>
              <w:rPr>
                <w:i/>
                <w:color w:val="555555"/>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38 — INSERT HERE]</w:t>
            </w:r>
          </w:p>
        </w:tc>
      </w:tr>
      <w:tr>
        <w:trPr>
          <w:trHeight w:val="500" w:hRule="atLeast"/>
        </w:trPr>
        <w:tc>
          <w:tcPr>
            <w:tcW w:type="dxa" w:w="9360"/>
            <w:shd w:fill="FAFAFA" w:val="clear"/>
          </w:tcPr>
          <w:p>
            <w:pPr>
              <w:jc w:val="center"/>
            </w:pPr>
            <w:r/>
            <w:r>
              <w:rPr>
                <w:i/>
                <w:color w:val="555555"/>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C0392B"/>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39 — INSERT HERE]</w:t>
            </w:r>
          </w:p>
        </w:tc>
      </w:tr>
      <w:tr>
        <w:trPr>
          <w:trHeight w:val="500" w:hRule="atLeast"/>
        </w:trPr>
        <w:tc>
          <w:tcPr>
            <w:tcW w:type="dxa" w:w="9360"/>
            <w:shd w:fill="FAFAFA" w:val="clear"/>
          </w:tcPr>
          <w:p>
            <w:pPr>
              <w:jc w:val="center"/>
            </w:pPr>
            <w:r/>
            <w:r>
              <w:rPr>
                <w:i/>
                <w:color w:val="555555"/>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40 — INSERT HERE]</w:t>
            </w:r>
          </w:p>
        </w:tc>
      </w:tr>
      <w:tr>
        <w:trPr>
          <w:trHeight w:val="500" w:hRule="atLeast"/>
        </w:trPr>
        <w:tc>
          <w:tcPr>
            <w:tcW w:type="dxa" w:w="9360"/>
            <w:shd w:fill="FAFAFA" w:val="clear"/>
          </w:tcPr>
          <w:p>
            <w:pPr>
              <w:jc w:val="center"/>
            </w:pPr>
            <w:r/>
            <w:r>
              <w:rPr>
                <w:i/>
                <w:color w:val="555555"/>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4"/>
              </w:rPr>
              <w:t>📸 [Screenshot 41 — INSERT HERE]</w:t>
            </w:r>
          </w:p>
        </w:tc>
      </w:tr>
      <w:tr>
        <w:trPr>
          <w:trHeight w:val="500" w:hRule="atLeast"/>
        </w:trPr>
        <w:tc>
          <w:tcPr>
            <w:tcW w:type="dxa" w:w="9360"/>
            <w:shd w:fill="FAFAFA" w:val="clear"/>
          </w:tcPr>
          <w:p>
            <w:pPr>
              <w:jc w:val="center"/>
            </w:pPr>
            <w:r/>
            <w:r>
              <w:rPr>
                <w:i/>
                <w:color w:val="555555"/>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Query results + lift table</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sz w:val="28"/>
        </w:rPr>
        <w:t>Section 7: Appendix</w:t>
      </w:r>
    </w:p>
    <w:p>
      <w:pPr>
        <w:spacing w:after="40"/>
      </w:pPr>
    </w:p>
    <w:p>
      <w:pPr>
        <w:pStyle w:val="Heading2"/>
      </w:pPr>
      <w:r>
        <w:rPr>
          <w:rFonts w:ascii="Times New Roman" w:hAnsi="Times New Roman"/>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