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(Multidimensional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data warehouse design and business question formulation are grounded in prior academic research that used the DFF dataset. Hoch, Drèze, and Purk (1994) demonstrated that DFF's zone-based pricing strategy could increase profits by 3–5% through optimized price tiers, validating the importance of store-level pricing analysis. Chevalier, Kashyap, and Rossi (2003) used DFF data to show that retailers use loss-leader pricing during peak seasons, with promotional pricing following counter-cyclical patterns directly relevant to our promotional lift analysis (BQ3, BQ4). Chintagunta (2002) analyzed brand-level pricing competition within DFF categories, supporting the need for product-level granularity. Mehta and Ma (2012) used DFF scanner data to demonstrate data mining techniques for category management and demand forecasting. Montgomery (1997) used DFF data to develop store-level pricing models, reinforcing the importance of demographic segmentation in pricing decisions (BQ8). Full citations are listed in Section 6: References.</w:t>
      </w:r>
    </w:p>
    <w:p>
      <w:pPr>
        <w:spacing w:after="40"/>
      </w:pPr>
    </w:p>
    <w:p>
      <w:pPr>
        <w:spacing w:after="40"/>
      </w:pP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Entity-Relationship Diagram (ERD)</w:t>
      </w:r>
    </w:p>
    <w:p>
      <w:pPr>
        <w:spacing w:after="40"/>
      </w:pPr>
    </w:p>
    <w:p>
      <w:r>
        <w:rPr>
          <w:rFonts w:ascii="Times New Roman" w:hAnsi="Times New Roman"/>
        </w:rPr>
      </w:r>
      <w:r>
        <w:rPr>
          <w:rFonts w:ascii="Times New Roman" w:hAnsi="Times New Roman"/>
          <w:b/>
        </w:rPr>
        <w:t>Figure 2: ERD for FactWeeklySales and Five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000000"/>
          <w:sz w:val="24"/>
        </w:rPr>
        <w:t>Entity-Relationship Diagram</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 xml:space="preserve">The two databases were created on </w:t>
      </w:r>
      <w:r>
        <w:rPr>
          <w:rFonts w:ascii="Times New Roman" w:hAnsi="Times New Roman"/>
          <w:b/>
        </w:rPr>
        <w:t>SQL Server 2016</w:t>
      </w:r>
      <w:r>
        <w:rPr>
          <w:rFonts w:ascii="Times New Roman" w:hAnsi="Times New Roman"/>
        </w:rPr>
        <w:t xml:space="preserve"> (server: </w:t>
      </w:r>
      <w:r>
        <w:rPr>
          <w:rFonts w:ascii="Courier New" w:hAnsi="Courier New"/>
          <w:color w:val="000000"/>
          <w:sz w:val="24"/>
        </w:rPr>
        <w:t>ISTM637-PC\SQLEXPRESS</w:t>
      </w:r>
      <w:r>
        <w:rPr>
          <w:rFonts w:ascii="Times New Roman" w:hAnsi="Times New Roman"/>
        </w:rPr>
        <w:t xml:space="preserve"> in the TAMU ISTM Lab) using the following SQL:</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Database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Server</w:t>
            </w:r>
          </w:p>
        </w:tc>
      </w:tr>
      <w:tr>
        <w:tc>
          <w:tcPr>
            <w:tcW w:type="dxa" w:w="3120"/>
          </w:tcPr>
          <w:p>
            <w:r/>
            <w:r>
              <w:rPr>
                <w:rFonts w:ascii="Times New Roman" w:hAnsi="Times New Roman"/>
                <w:sz w:val="18"/>
              </w:rPr>
              <w:t>`team1_staging_area`</w:t>
            </w:r>
          </w:p>
        </w:tc>
        <w:tc>
          <w:tcPr>
            <w:tcW w:type="dxa" w:w="3120"/>
          </w:tcPr>
          <w:p>
            <w:r/>
            <w:r>
              <w:rPr>
                <w:rFonts w:ascii="Times New Roman" w:hAnsi="Times New Roman"/>
                <w:sz w:val="18"/>
              </w:rPr>
              <w:t>Staging database — holds raw imported data from CSV source files before transformation</w:t>
            </w:r>
          </w:p>
        </w:tc>
        <w:tc>
          <w:tcPr>
            <w:tcW w:type="dxa" w:w="3120"/>
          </w:tcPr>
          <w:p>
            <w:r/>
            <w:r>
              <w:rPr>
                <w:rFonts w:ascii="Times New Roman" w:hAnsi="Times New Roman"/>
                <w:sz w:val="18"/>
              </w:rPr>
              <w:t>`ISTM637-PC\SQLEXPRESS` (SQL Server 2016, TAMU ISTM Lab)</w:t>
            </w:r>
          </w:p>
        </w:tc>
      </w:tr>
      <w:tr>
        <w:tc>
          <w:tcPr>
            <w:tcW w:type="dxa" w:w="3120"/>
          </w:tcPr>
          <w:p>
            <w:r/>
            <w:r>
              <w:rPr>
                <w:rFonts w:ascii="Times New Roman" w:hAnsi="Times New Roman"/>
                <w:sz w:val="18"/>
              </w:rPr>
              <w:t>`team1_dw_area`</w:t>
            </w:r>
          </w:p>
        </w:tc>
        <w:tc>
          <w:tcPr>
            <w:tcW w:type="dxa" w:w="3120"/>
          </w:tcPr>
          <w:p>
            <w:r/>
            <w:r>
              <w:rPr>
                <w:rFonts w:ascii="Times New Roman" w:hAnsi="Times New Roman"/>
                <w:sz w:val="18"/>
              </w:rPr>
              <w:t>Data mart (presentation server) — holds the star schema with fact and dimension tables for BI reporting</w:t>
            </w:r>
          </w:p>
        </w:tc>
        <w:tc>
          <w:tcPr>
            <w:tcW w:type="dxa" w:w="3120"/>
          </w:tcPr>
          <w:p>
            <w:r/>
            <w:r>
              <w:rPr>
                <w:rFonts w:ascii="Times New Roman" w:hAnsi="Times New Roman"/>
                <w:sz w:val="18"/>
              </w:rPr>
              <w:t>`ISTM637-PC\SQLEXPRESS` (SQL Server 2016, TAMU ISTM Lab)</w:t>
            </w:r>
          </w:p>
        </w:tc>
      </w:tr>
    </w:tbl>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14,921,365</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r>
        <w:rPr>
          <w:rFonts w:ascii="Times New Roman" w:hAnsi="Times New Roman"/>
        </w:rPr>
      </w:r>
      <w:r>
        <w:rPr>
          <w:rFonts w:ascii="Times New Roman" w:hAnsi="Times New Roman"/>
          <w:b/>
        </w:rPr>
        <w:t>Foreign-key integrity check:</w:t>
      </w:r>
      <w:r>
        <w:rPr>
          <w:rFonts w:ascii="Times New Roman" w:hAnsi="Times New Roman"/>
        </w:rPr>
        <w:t xml:space="preserve"> A post-load verification query confirmed 0 NULL values for product_key, store_key, time_key, category_key, and promotion_key in FactWeeklySales. All foreign keys in the fact table reference valid dimension records, with no orphan rows. This was enforced by using INNER JOINs during the staging-to-mart load (see Section 4.2.6) and by defining FK constraints in the CREATE TABLE DDL (see Appendix A, </w:t>
      </w:r>
      <w:r>
        <w:rPr>
          <w:rFonts w:ascii="Courier New" w:hAnsi="Courier New"/>
          <w:color w:val="000000"/>
          <w:sz w:val="24"/>
        </w:rPr>
        <w:t>03_create_dw_tables.sql</w:t>
      </w:r>
      <w:r>
        <w:rPr>
          <w:rFonts w:ascii="Times New Roman" w:hAnsi="Times New Roman"/>
        </w:rPr>
        <w:t>).</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