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6"/>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32"/>
        </w:rPr>
        <w:t>Table of Contents</w:t>
      </w:r>
    </w:p>
    <w:p>
      <w:pPr>
        <w:spacing w:after="40"/>
      </w:pPr>
    </w:p>
    <w:p>
      <w:pPr>
        <w:pStyle w:val="ListNumber"/>
      </w:pPr>
      <w:r>
        <w:rPr>
          <w:rFonts w:ascii="Times New Roman" w:hAnsi="Times New Roman"/>
        </w:rPr>
        <w:t>Introduction</w:t>
      </w:r>
    </w:p>
    <w:p>
      <w:pPr>
        <w:pStyle w:val="ListNumber"/>
      </w:pPr>
      <w:r>
        <w:rPr>
          <w:rFonts w:ascii="Times New Roman" w:hAnsi="Times New Roman"/>
        </w:rPr>
        <w:t>Business Questions and Substantiations</w:t>
      </w:r>
    </w:p>
    <w:p>
      <w:pPr>
        <w:pStyle w:val="ListNumber"/>
      </w:pPr>
      <w:r>
        <w:rPr>
          <w:rFonts w:ascii="Times New Roman" w:hAnsi="Times New Roman"/>
        </w:rPr>
        <w:t>Independent Data Marts Design Using Kimball's Approach</w:t>
      </w:r>
    </w:p>
    <w:p>
      <w:pPr>
        <w:pStyle w:val="ListNumber"/>
      </w:pPr>
      <w:r>
        <w:rPr>
          <w:rFonts w:ascii="Times New Roman" w:hAnsi="Times New Roman"/>
        </w:rPr>
        <w:t>Data Cleaning and Integration</w:t>
      </w:r>
    </w:p>
    <w:p>
      <w:pPr>
        <w:pStyle w:val="ListNumber"/>
      </w:pPr>
      <w:r>
        <w:rPr>
          <w:rFonts w:ascii="Times New Roman" w:hAnsi="Times New Roman"/>
        </w:rPr>
        <w:t>BI Reporting</w:t>
      </w:r>
    </w:p>
    <w:p>
      <w:pPr>
        <w:pStyle w:val="ListNumber"/>
      </w:pPr>
      <w:r>
        <w:rPr>
          <w:rFonts w:ascii="Times New Roman" w:hAnsi="Times New Roman"/>
        </w:rPr>
        <w:t>References</w:t>
      </w:r>
    </w:p>
    <w:p>
      <w:pPr>
        <w:pStyle w:val="ListNumber"/>
      </w:pPr>
      <w:r>
        <w:rPr>
          <w:rFonts w:ascii="Times New Roman" w:hAnsi="Times New Roman"/>
        </w:rPr>
        <w:t>Appendix</w:t>
      </w:r>
    </w:p>
    <w:p>
      <w:pPr>
        <w:spacing w:after="40"/>
      </w:pPr>
    </w:p>
    <w:p/>
    <w:p>
      <w:pPr>
        <w:spacing w:after="40"/>
      </w:pPr>
    </w:p>
    <w:p>
      <w:pPr>
        <w:pStyle w:val="Heading1"/>
      </w:pPr>
      <w:r>
        <w:rPr>
          <w:rFonts w:ascii="Times New Roman" w:hAnsi="Times New Roman"/>
          <w:color w:val="000000"/>
          <w:sz w:val="32"/>
        </w:rPr>
        <w:t>Section 1: Introduction</w:t>
      </w:r>
    </w:p>
    <w:p>
      <w:pPr>
        <w:spacing w:after="40"/>
      </w:pPr>
    </w:p>
    <w:p>
      <w:pPr>
        <w:pStyle w:val="Heading2"/>
      </w:pPr>
      <w:r>
        <w:rPr>
          <w:rFonts w:ascii="Times New Roman" w:hAnsi="Times New Roman"/>
          <w:color w:val="000000"/>
          <w:sz w:val="28"/>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8"/>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MOLAP (Multidimensional Online Analytical Processing)</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spacing w:after="40"/>
      </w:pPr>
    </w:p>
    <w:p>
      <w:pPr>
        <w:pStyle w:val="Heading2"/>
      </w:pPr>
      <w:r>
        <w:rPr>
          <w:rFonts w:ascii="Times New Roman" w:hAnsi="Times New Roman"/>
          <w:color w:val="000000"/>
          <w:sz w:val="28"/>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8"/>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spacing w:after="40"/>
      </w:pPr>
    </w:p>
    <w:p>
      <w:pPr>
        <w:pStyle w:val="Heading2"/>
      </w:pPr>
      <w:r>
        <w:rPr>
          <w:rFonts w:ascii="Times New Roman" w:hAnsi="Times New Roman"/>
          <w:color w:val="000000"/>
          <w:sz w:val="28"/>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32"/>
        </w:rPr>
        <w:t>Section 2: Business Questions and Substantiations</w:t>
      </w:r>
    </w:p>
    <w:p>
      <w:pPr>
        <w:spacing w:after="40"/>
      </w:pPr>
    </w:p>
    <w:p>
      <w:pPr>
        <w:pStyle w:val="Heading2"/>
      </w:pPr>
      <w:r>
        <w:rPr>
          <w:rFonts w:ascii="Times New Roman" w:hAnsi="Times New Roman"/>
          <w:color w:val="000000"/>
          <w:sz w:val="28"/>
        </w:rPr>
        <w:t>2.1 Literature Review</w:t>
      </w:r>
    </w:p>
    <w:p>
      <w:pPr>
        <w:spacing w:after="40"/>
      </w:pPr>
    </w:p>
    <w:p>
      <w:r>
        <w:rPr>
          <w:rFonts w:ascii="Times New Roman" w:hAnsi="Times New Roman"/>
        </w:rPr>
        <w:t>Our data warehouse design and business question formulation are grounded in prior academic research that used the DFF dataset. Hoch, Drèze, and Purk (1994) demonstrated that DFF's zone-based pricing strategy could increase profits by 3–5% through optimized price tiers, validating the importance of store-level pricing analysis. Chevalier, Kashyap, and Rossi (2003) used DFF data to show that retailers use loss-leader pricing during peak seasons, with promotional pricing following counter-cyclical patterns directly relevant to our promotional lift analysis (BQ3, BQ4). Chintagunta (2002) analyzed brand-level pricing competition within DFF categories, supporting the need for product-level granularity. Mehta and Ma (2012) used DFF scanner data to demonstrate data mining techniques for category management and demand forecasting. Montgomery (1997) used DFF data to develop store-level pricing models, reinforcing the importance of demographic segmentation in pricing decisions (BQ8). Full citations are listed in Section 6: References.</w:t>
      </w:r>
    </w:p>
    <w:p>
      <w:pPr>
        <w:spacing w:after="40"/>
      </w:pPr>
    </w:p>
    <w:p>
      <w:pPr>
        <w:spacing w:after="40"/>
      </w:pPr>
    </w:p>
    <w:p>
      <w:pPr>
        <w:spacing w:after="40"/>
      </w:pPr>
    </w:p>
    <w:p>
      <w:pPr>
        <w:pStyle w:val="Heading2"/>
      </w:pPr>
      <w:r>
        <w:rPr>
          <w:rFonts w:ascii="Times New Roman" w:hAnsi="Times New Roman"/>
          <w:color w:val="000000"/>
          <w:sz w:val="28"/>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8"/>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8"/>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32"/>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8"/>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after="40"/>
      </w:pPr>
    </w:p>
    <w:p/>
    <w:p>
      <w:pPr>
        <w:spacing w:after="40"/>
      </w:pPr>
    </w:p>
    <w:p>
      <w:pPr>
        <w:pStyle w:val="Heading2"/>
      </w:pPr>
      <w:r>
        <w:rPr>
          <w:rFonts w:ascii="Times New Roman" w:hAnsi="Times New Roman"/>
          <w:color w:val="000000"/>
          <w:sz w:val="28"/>
        </w:rPr>
        <w:t>3.2 Data Warehouse Logical Design (Star Schema Design)</w:t>
      </w:r>
    </w:p>
    <w:p>
      <w:pPr>
        <w:spacing w:after="40"/>
      </w:pPr>
    </w:p>
    <w:p>
      <w:pPr>
        <w:pStyle w:val="Heading2"/>
      </w:pPr>
      <w:r>
        <w:rPr>
          <w:rFonts w:ascii="Times New Roman" w:hAnsi="Times New Roman"/>
          <w:color w:val="000000"/>
          <w:sz w:val="28"/>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spacing w:after="40"/>
      </w:pPr>
    </w:p>
    <w:p>
      <w:pPr>
        <w:pStyle w:val="Heading2"/>
      </w:pPr>
      <w:r>
        <w:rPr>
          <w:rFonts w:ascii="Times New Roman" w:hAnsi="Times New Roman"/>
          <w:color w:val="000000"/>
          <w:sz w:val="28"/>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8"/>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8"/>
        </w:rPr>
        <w:t>3.6 Entity-Relationship Diagram (ERD)</w:t>
      </w:r>
    </w:p>
    <w:p>
      <w:pPr>
        <w:spacing w:after="40"/>
      </w:pPr>
    </w:p>
    <w:p>
      <w:r>
        <w:rPr>
          <w:rFonts w:ascii="Times New Roman" w:hAnsi="Times New Roman"/>
        </w:rPr>
      </w:r>
      <w:r>
        <w:rPr>
          <w:rFonts w:ascii="Times New Roman" w:hAnsi="Times New Roman"/>
          <w:b/>
        </w:rPr>
        <w:t>Figure 2: ERD for FactWeeklySales and Five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29200"/>
                    </a:xfrm>
                    <a:prstGeom prst="rect"/>
                  </pic:spPr>
                </pic:pic>
              </a:graphicData>
            </a:graphic>
          </wp:inline>
        </w:drawing>
      </w:r>
    </w:p>
    <w:p>
      <w:pPr>
        <w:jc w:val="center"/>
      </w:pPr>
      <w:r>
        <w:rPr>
          <w:rFonts w:ascii="Times New Roman" w:hAnsi="Times New Roman"/>
          <w:i/>
          <w:color w:val="000000"/>
          <w:sz w:val="24"/>
        </w:rPr>
        <w:t>Entity-Relationship Diagram</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8"/>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spacing w:after="40"/>
      </w:pPr>
    </w:p>
    <w:p>
      <w:pPr>
        <w:spacing w:after="40"/>
      </w:pPr>
    </w:p>
    <w:p>
      <w:pPr>
        <w:pStyle w:val="Heading2"/>
      </w:pPr>
      <w:r>
        <w:rPr>
          <w:rFonts w:ascii="Times New Roman" w:hAnsi="Times New Roman"/>
          <w:color w:val="000000"/>
          <w:sz w:val="28"/>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8"/>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32"/>
        </w:rPr>
        <w:t>Section 4: Data Cleaning and Integration</w:t>
      </w:r>
    </w:p>
    <w:p>
      <w:pPr>
        <w:pStyle w:val="Heading2"/>
      </w:pPr>
      <w:r>
        <w:rPr>
          <w:rFonts w:ascii="Times New Roman" w:hAnsi="Times New Roman"/>
          <w:color w:val="000000"/>
          <w:sz w:val="28"/>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8"/>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spacing w:after="40"/>
      </w:pPr>
    </w:p>
    <w:p>
      <w:pPr>
        <w:pStyle w:val="Heading2"/>
      </w:pPr>
      <w:r>
        <w:rPr>
          <w:rFonts w:ascii="Times New Roman" w:hAnsi="Times New Roman"/>
          <w:color w:val="000000"/>
          <w:sz w:val="28"/>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spacing w:after="40"/>
      </w:pPr>
    </w:p>
    <w:p>
      <w:pPr>
        <w:pStyle w:val="Heading2"/>
      </w:pPr>
      <w:r>
        <w:rPr>
          <w:rFonts w:ascii="Times New Roman" w:hAnsi="Times New Roman"/>
          <w:color w:val="000000"/>
          <w:sz w:val="28"/>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8"/>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spacing w:after="40"/>
      </w:pPr>
    </w:p>
    <w:p>
      <w:pPr>
        <w:pStyle w:val="Heading2"/>
      </w:pPr>
      <w:r>
        <w:rPr>
          <w:rFonts w:ascii="Times New Roman" w:hAnsi="Times New Roman"/>
          <w:color w:val="000000"/>
          <w:sz w:val="28"/>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spacing w:after="40"/>
      </w:pPr>
    </w:p>
    <w:p>
      <w:pPr>
        <w:pStyle w:val="Heading2"/>
      </w:pPr>
      <w:r>
        <w:rPr>
          <w:rFonts w:ascii="Times New Roman" w:hAnsi="Times New Roman"/>
          <w:color w:val="000000"/>
          <w:sz w:val="28"/>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8"/>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spacing w:after="40"/>
      </w:pPr>
    </w:p>
    <w:p>
      <w:pPr>
        <w:pStyle w:val="Heading2"/>
      </w:pPr>
      <w:r>
        <w:rPr>
          <w:rFonts w:ascii="Times New Roman" w:hAnsi="Times New Roman"/>
          <w:color w:val="000000"/>
          <w:sz w:val="28"/>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8"/>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8"/>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8"/>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8"/>
        </w:rPr>
        <w:t>4.2.1 Database Creation</w:t>
      </w:r>
    </w:p>
    <w:p>
      <w:pPr>
        <w:spacing w:after="40"/>
      </w:pPr>
    </w:p>
    <w:p>
      <w:r>
        <w:rPr>
          <w:rFonts w:ascii="Times New Roman" w:hAnsi="Times New Roman"/>
        </w:rPr>
        <w:t xml:space="preserve">The two databases were created on </w:t>
      </w:r>
      <w:r>
        <w:rPr>
          <w:rFonts w:ascii="Times New Roman" w:hAnsi="Times New Roman"/>
          <w:b/>
        </w:rPr>
        <w:t>SQL Server 2016</w:t>
      </w:r>
      <w:r>
        <w:rPr>
          <w:rFonts w:ascii="Times New Roman" w:hAnsi="Times New Roman"/>
        </w:rPr>
        <w:t xml:space="preserve"> (server: </w:t>
      </w:r>
      <w:r>
        <w:rPr>
          <w:rFonts w:ascii="Courier New" w:hAnsi="Courier New"/>
          <w:color w:val="000000"/>
          <w:sz w:val="24"/>
        </w:rPr>
        <w:t>ISTM637-PC\SQLEXPRESS</w:t>
      </w:r>
      <w:r>
        <w:rPr>
          <w:rFonts w:ascii="Times New Roman" w:hAnsi="Times New Roman"/>
        </w:rPr>
        <w:t xml:space="preserve"> in the TAMU ISTM Lab) using the following SQL:</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Database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Server</w:t>
            </w:r>
          </w:p>
        </w:tc>
      </w:tr>
      <w:tr>
        <w:tc>
          <w:tcPr>
            <w:tcW w:type="dxa" w:w="3120"/>
          </w:tcPr>
          <w:p>
            <w:r/>
            <w:r>
              <w:rPr>
                <w:rFonts w:ascii="Times New Roman" w:hAnsi="Times New Roman"/>
                <w:sz w:val="18"/>
              </w:rPr>
              <w:t>`team1_staging_area`</w:t>
            </w:r>
          </w:p>
        </w:tc>
        <w:tc>
          <w:tcPr>
            <w:tcW w:type="dxa" w:w="3120"/>
          </w:tcPr>
          <w:p>
            <w:r/>
            <w:r>
              <w:rPr>
                <w:rFonts w:ascii="Times New Roman" w:hAnsi="Times New Roman"/>
                <w:sz w:val="18"/>
              </w:rPr>
              <w:t>Staging database — holds raw imported data from CSV source files before transformation</w:t>
            </w:r>
          </w:p>
        </w:tc>
        <w:tc>
          <w:tcPr>
            <w:tcW w:type="dxa" w:w="3120"/>
          </w:tcPr>
          <w:p>
            <w:r/>
            <w:r>
              <w:rPr>
                <w:rFonts w:ascii="Times New Roman" w:hAnsi="Times New Roman"/>
                <w:sz w:val="18"/>
              </w:rPr>
              <w:t>`ISTM637-PC\SQLEXPRESS` (SQL Server 2016, TAMU ISTM Lab)</w:t>
            </w:r>
          </w:p>
        </w:tc>
      </w:tr>
      <w:tr>
        <w:tc>
          <w:tcPr>
            <w:tcW w:type="dxa" w:w="3120"/>
          </w:tcPr>
          <w:p>
            <w:r/>
            <w:r>
              <w:rPr>
                <w:rFonts w:ascii="Times New Roman" w:hAnsi="Times New Roman"/>
                <w:sz w:val="18"/>
              </w:rPr>
              <w:t>`team1_dw_area`</w:t>
            </w:r>
          </w:p>
        </w:tc>
        <w:tc>
          <w:tcPr>
            <w:tcW w:type="dxa" w:w="3120"/>
          </w:tcPr>
          <w:p>
            <w:r/>
            <w:r>
              <w:rPr>
                <w:rFonts w:ascii="Times New Roman" w:hAnsi="Times New Roman"/>
                <w:sz w:val="18"/>
              </w:rPr>
              <w:t>Data mart (presentation server) — holds the star schema with fact and dimension tables for BI reporting</w:t>
            </w:r>
          </w:p>
        </w:tc>
        <w:tc>
          <w:tcPr>
            <w:tcW w:type="dxa" w:w="3120"/>
          </w:tcPr>
          <w:p>
            <w:r/>
            <w:r>
              <w:rPr>
                <w:rFonts w:ascii="Times New Roman" w:hAnsi="Times New Roman"/>
                <w:sz w:val="18"/>
              </w:rPr>
              <w:t>`ISTM637-PC\SQLEXPRESS` (SQL Server 2016, TAMU ISTM Lab)</w:t>
            </w:r>
          </w:p>
        </w:tc>
      </w:tr>
    </w:tbl>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8"/>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8"/>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8"/>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8"/>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8"/>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8"/>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8"/>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8"/>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8"/>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28</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4</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400</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107</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3,127</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w:t>
            </w:r>
          </w:p>
        </w:tc>
        <w:tc>
          <w:tcPr>
            <w:tcW w:type="dxa" w:w="2340"/>
          </w:tcPr>
          <w:p>
            <w:r/>
            <w:r>
              <w:rPr>
                <w:rFonts w:ascii="Times New Roman" w:hAnsi="Times New Roman"/>
                <w:sz w:val="18"/>
              </w:rPr>
              <w:t>14,921,365</w:t>
            </w:r>
          </w:p>
        </w:tc>
        <w:tc>
          <w:tcPr>
            <w:tcW w:type="dxa" w:w="2340"/>
          </w:tcPr>
          <w:p>
            <w:r/>
            <w:r>
              <w:rPr>
                <w:rFonts w:ascii="Times New Roman" w:hAnsi="Times New Roman"/>
                <w:sz w:val="18"/>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r>
        <w:rPr>
          <w:rFonts w:ascii="Times New Roman" w:hAnsi="Times New Roman"/>
        </w:rPr>
      </w:r>
      <w:r>
        <w:rPr>
          <w:rFonts w:ascii="Times New Roman" w:hAnsi="Times New Roman"/>
          <w:b/>
        </w:rPr>
        <w:t>Foreign-key integrity check:</w:t>
      </w:r>
      <w:r>
        <w:rPr>
          <w:rFonts w:ascii="Times New Roman" w:hAnsi="Times New Roman"/>
        </w:rPr>
        <w:t xml:space="preserve"> A post-load verification query confirmed 0 NULL values for product_key, store_key, time_key, category_key, and promotion_key in FactWeeklySales. All foreign keys in the fact table reference valid dimension records, with no orphan rows. This was enforced by using INNER JOINs during the staging-to-mart load (see Section 4.2.6) and by defining FK constraints in the CREATE TABLE DDL (see Appendix A, </w:t>
      </w:r>
      <w:r>
        <w:rPr>
          <w:rFonts w:ascii="Courier New" w:hAnsi="Courier New"/>
          <w:color w:val="000000"/>
          <w:sz w:val="24"/>
        </w:rPr>
        <w:t>03_create_dw_tables.sql</w:t>
      </w:r>
      <w:r>
        <w:rPr>
          <w:rFonts w:ascii="Times New Roman" w:hAnsi="Times New Roman"/>
        </w:rPr>
        <w:t>).</w:t>
      </w:r>
    </w:p>
    <w:p>
      <w:pPr>
        <w:spacing w:after="40"/>
      </w:pPr>
    </w:p>
    <w:p/>
    <w:p>
      <w:pPr>
        <w:spacing w:after="40"/>
      </w:pPr>
    </w:p>
    <w:p>
      <w:pPr>
        <w:pStyle w:val="Heading1"/>
      </w:pPr>
      <w:r>
        <w:rPr>
          <w:rFonts w:ascii="Times New Roman" w:hAnsi="Times New Roman"/>
          <w:color w:val="000000"/>
          <w:sz w:val="32"/>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8"/>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Business Question</w:t>
            </w:r>
          </w:p>
        </w:tc>
        <w:tc>
          <w:tcPr>
            <w:tcW w:type="dxa" w:w="2340"/>
            <w:shd w:fill="D9E2F3" w:val="clear"/>
          </w:tcPr>
          <w:p>
            <w:r/>
            <w:r>
              <w:rPr>
                <w:rFonts w:ascii="Times New Roman" w:hAnsi="Times New Roman"/>
                <w:b/>
                <w:sz w:val="18"/>
              </w:rPr>
              <w:t>BI Tool</w:t>
            </w:r>
          </w:p>
        </w:tc>
        <w:tc>
          <w:tcPr>
            <w:tcW w:type="dxa" w:w="2340"/>
            <w:shd w:fill="D9E2F3" w:val="clear"/>
          </w:tcPr>
          <w:p>
            <w:r/>
            <w:r>
              <w:rPr>
                <w:rFonts w:ascii="Times New Roman" w:hAnsi="Times New Roman"/>
                <w:b/>
                <w:sz w:val="18"/>
              </w:rPr>
              <w:t>Report Type</w:t>
            </w:r>
          </w:p>
        </w:tc>
      </w:tr>
      <w:tr>
        <w:tc>
          <w:tcPr>
            <w:tcW w:type="dxa" w:w="2340"/>
          </w:tcPr>
          <w:p>
            <w:r/>
            <w:r>
              <w:rPr>
                <w:rFonts w:ascii="Times New Roman" w:hAnsi="Times New Roman"/>
                <w:sz w:val="18"/>
              </w:rPr>
              <w:t>BQ2</w:t>
            </w:r>
          </w:p>
        </w:tc>
        <w:tc>
          <w:tcPr>
            <w:tcW w:type="dxa" w:w="2340"/>
          </w:tcPr>
          <w:p>
            <w:r/>
            <w:r>
              <w:rPr>
                <w:rFonts w:ascii="Times New Roman" w:hAnsi="Times New Roman"/>
                <w:sz w:val="18"/>
              </w:rPr>
              <w:t>What were the total weekly unit sales of Soft Drinks across all stores?</w:t>
            </w:r>
          </w:p>
        </w:tc>
        <w:tc>
          <w:tcPr>
            <w:tcW w:type="dxa" w:w="2340"/>
          </w:tcPr>
          <w:p>
            <w:r/>
            <w:r>
              <w:rPr>
                <w:rFonts w:ascii="Times New Roman" w:hAnsi="Times New Roman"/>
                <w:sz w:val="18"/>
              </w:rPr>
              <w:t>SSRS</w:t>
            </w:r>
          </w:p>
        </w:tc>
        <w:tc>
          <w:tcPr>
            <w:tcW w:type="dxa" w:w="2340"/>
          </w:tcPr>
          <w:p>
            <w:r/>
            <w:r>
              <w:rPr>
                <w:rFonts w:ascii="Times New Roman" w:hAnsi="Times New Roman"/>
                <w:sz w:val="18"/>
              </w:rPr>
              <w:t>Tabular report with weekly trend chart</w:t>
            </w:r>
          </w:p>
        </w:tc>
      </w:tr>
      <w:tr>
        <w:tc>
          <w:tcPr>
            <w:tcW w:type="dxa" w:w="2340"/>
          </w:tcPr>
          <w:p>
            <w:r/>
            <w:r>
              <w:rPr>
                <w:rFonts w:ascii="Times New Roman" w:hAnsi="Times New Roman"/>
                <w:sz w:val="18"/>
              </w:rPr>
              <w:t>BQ3</w:t>
            </w:r>
          </w:p>
        </w:tc>
        <w:tc>
          <w:tcPr>
            <w:tcW w:type="dxa" w:w="2340"/>
          </w:tcPr>
          <w:p>
            <w:r/>
            <w:r>
              <w:rPr>
                <w:rFonts w:ascii="Times New Roman" w:hAnsi="Times New Roman"/>
                <w:sz w:val="18"/>
              </w:rPr>
              <w:t>How do promotion weeks compare to non-promotion weeks in terms of sales volume?</w:t>
            </w:r>
          </w:p>
        </w:tc>
        <w:tc>
          <w:tcPr>
            <w:tcW w:type="dxa" w:w="2340"/>
          </w:tcPr>
          <w:p>
            <w:r/>
            <w:r>
              <w:rPr>
                <w:rFonts w:ascii="Times New Roman" w:hAnsi="Times New Roman"/>
                <w:sz w:val="18"/>
              </w:rPr>
              <w:t>SSAS</w:t>
            </w:r>
          </w:p>
        </w:tc>
        <w:tc>
          <w:tcPr>
            <w:tcW w:type="dxa" w:w="2340"/>
          </w:tcPr>
          <w:p>
            <w:r/>
            <w:r>
              <w:rPr>
                <w:rFonts w:ascii="Times New Roman" w:hAnsi="Times New Roman"/>
                <w:sz w:val="18"/>
              </w:rPr>
              <w:t>Cube-based pivot with drill-down by deal type</w:t>
            </w:r>
          </w:p>
        </w:tc>
      </w:tr>
      <w:tr>
        <w:tc>
          <w:tcPr>
            <w:tcW w:type="dxa" w:w="2340"/>
          </w:tcPr>
          <w:p>
            <w:r/>
            <w:r>
              <w:rPr>
                <w:rFonts w:ascii="Times New Roman" w:hAnsi="Times New Roman"/>
                <w:sz w:val="18"/>
              </w:rPr>
              <w:t>BQ4</w:t>
            </w:r>
          </w:p>
        </w:tc>
        <w:tc>
          <w:tcPr>
            <w:tcW w:type="dxa" w:w="2340"/>
          </w:tcPr>
          <w:p>
            <w:r/>
            <w:r>
              <w:rPr>
                <w:rFonts w:ascii="Times New Roman" w:hAnsi="Times New Roman"/>
                <w:sz w:val="18"/>
              </w:rPr>
              <w:t>Which promotion type (B/C/S) generated the highest incremental unit sales lift in Canned Soup?</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Query results with lift multiplier comparison</w:t>
            </w:r>
          </w:p>
        </w:tc>
      </w:tr>
      <w:tr>
        <w:tc>
          <w:tcPr>
            <w:tcW w:type="dxa" w:w="2340"/>
          </w:tcPr>
          <w:p>
            <w:r/>
            <w:r>
              <w:rPr>
                <w:rFonts w:ascii="Times New Roman" w:hAnsi="Times New Roman"/>
                <w:sz w:val="18"/>
              </w:rPr>
              <w:t>BQ8</w:t>
            </w:r>
          </w:p>
        </w:tc>
        <w:tc>
          <w:tcPr>
            <w:tcW w:type="dxa" w:w="2340"/>
          </w:tcPr>
          <w:p>
            <w:r/>
            <w:r>
              <w:rPr>
                <w:rFonts w:ascii="Times New Roman" w:hAnsi="Times New Roman"/>
                <w:sz w:val="18"/>
              </w:rPr>
              <w:t>Which stores fall into the top 25%, middle 50%, and bottom 25% of total Toothpaste revenue, and how do their demographics differ?</w:t>
            </w:r>
          </w:p>
        </w:tc>
        <w:tc>
          <w:tcPr>
            <w:tcW w:type="dxa" w:w="2340"/>
          </w:tcPr>
          <w:p>
            <w:r/>
            <w:r>
              <w:rPr>
                <w:rFonts w:ascii="Times New Roman" w:hAnsi="Times New Roman"/>
                <w:sz w:val="18"/>
              </w:rPr>
              <w:t>Power BI</w:t>
            </w:r>
          </w:p>
        </w:tc>
        <w:tc>
          <w:tcPr>
            <w:tcW w:type="dxa" w:w="2340"/>
          </w:tcPr>
          <w:p>
            <w:r/>
            <w:r>
              <w:rPr>
                <w:rFonts w:ascii="Times New Roman" w:hAnsi="Times New Roman"/>
                <w:sz w:val="18"/>
              </w:rPr>
              <w:t>Interactive dashboard with quartile segmentation</w:t>
            </w:r>
          </w:p>
        </w:tc>
      </w:tr>
      <w:tr>
        <w:tc>
          <w:tcPr>
            <w:tcW w:type="dxa" w:w="2340"/>
          </w:tcPr>
          <w:p>
            <w:r/>
            <w:r>
              <w:rPr>
                <w:rFonts w:ascii="Times New Roman" w:hAnsi="Times New Roman"/>
                <w:sz w:val="18"/>
              </w:rPr>
              <w:t>BQ9</w:t>
            </w:r>
          </w:p>
        </w:tc>
        <w:tc>
          <w:tcPr>
            <w:tcW w:type="dxa" w:w="2340"/>
          </w:tcPr>
          <w:p>
            <w:r/>
            <w:r>
              <w:rPr>
                <w:rFonts w:ascii="Times New Roman" w:hAnsi="Times New Roman"/>
                <w:sz w:val="18"/>
              </w:rPr>
              <w:t>For each week, rank the top 10 Cracker products by unit sales and show their week-over-week sales change.</w:t>
            </w:r>
          </w:p>
        </w:tc>
        <w:tc>
          <w:tcPr>
            <w:tcW w:type="dxa" w:w="2340"/>
          </w:tcPr>
          <w:p>
            <w:r/>
            <w:r>
              <w:rPr>
                <w:rFonts w:ascii="Times New Roman" w:hAnsi="Times New Roman"/>
                <w:sz w:val="18"/>
              </w:rPr>
              <w:t>SSRS</w:t>
            </w:r>
          </w:p>
        </w:tc>
        <w:tc>
          <w:tcPr>
            <w:tcW w:type="dxa" w:w="2340"/>
          </w:tcPr>
          <w:p>
            <w:r/>
            <w:r>
              <w:rPr>
                <w:rFonts w:ascii="Times New Roman" w:hAnsi="Times New Roman"/>
                <w:sz w:val="18"/>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Report Attribute</w:t>
            </w:r>
          </w:p>
        </w:tc>
        <w:tc>
          <w:tcPr>
            <w:tcW w:type="dxa" w:w="2340"/>
            <w:shd w:fill="D9E2F3" w:val="clear"/>
          </w:tcPr>
          <w:p>
            <w:r/>
            <w:r>
              <w:rPr>
                <w:rFonts w:ascii="Times New Roman" w:hAnsi="Times New Roman"/>
                <w:b/>
                <w:sz w:val="18"/>
              </w:rPr>
              <w:t>Source Table</w:t>
            </w:r>
          </w:p>
        </w:tc>
        <w:tc>
          <w:tcPr>
            <w:tcW w:type="dxa" w:w="2340"/>
            <w:shd w:fill="D9E2F3" w:val="clear"/>
          </w:tcPr>
          <w:p>
            <w:r/>
            <w:r>
              <w:rPr>
                <w:rFonts w:ascii="Times New Roman" w:hAnsi="Times New Roman"/>
                <w:b/>
                <w:sz w:val="18"/>
              </w:rPr>
              <w:t>Source Column(s)</w:t>
            </w:r>
          </w:p>
        </w:tc>
        <w:tc>
          <w:tcPr>
            <w:tcW w:type="dxa" w:w="2340"/>
            <w:shd w:fill="D9E2F3" w:val="clear"/>
          </w:tcPr>
          <w:p>
            <w:r/>
            <w:r>
              <w:rPr>
                <w:rFonts w:ascii="Times New Roman" w:hAnsi="Times New Roman"/>
                <w:b/>
                <w:sz w:val="18"/>
              </w:rPr>
              <w:t>Usage</w:t>
            </w:r>
          </w:p>
        </w:tc>
      </w:tr>
      <w:tr>
        <w:tc>
          <w:tcPr>
            <w:tcW w:type="dxa" w:w="2340"/>
          </w:tcPr>
          <w:p>
            <w:r/>
            <w:r>
              <w:rPr>
                <w:rFonts w:ascii="Times New Roman" w:hAnsi="Times New Roman"/>
                <w:sz w:val="18"/>
              </w:rPr>
              <w:t>Weekly sales trend line</w:t>
            </w:r>
          </w:p>
        </w:tc>
        <w:tc>
          <w:tcPr>
            <w:tcW w:type="dxa" w:w="2340"/>
          </w:tcPr>
          <w:p>
            <w:r/>
            <w:r>
              <w:rPr>
                <w:rFonts w:ascii="Times New Roman" w:hAnsi="Times New Roman"/>
                <w:sz w:val="18"/>
              </w:rPr>
              <w:t>FactWeeklySales + DimTime</w:t>
            </w:r>
          </w:p>
        </w:tc>
        <w:tc>
          <w:tcPr>
            <w:tcW w:type="dxa" w:w="2340"/>
          </w:tcPr>
          <w:p>
            <w:r/>
            <w:r>
              <w:rPr>
                <w:rFonts w:ascii="Times New Roman" w:hAnsi="Times New Roman"/>
                <w:sz w:val="18"/>
              </w:rPr>
              <w:t>units_sold, week_start_date</w:t>
            </w:r>
          </w:p>
        </w:tc>
        <w:tc>
          <w:tcPr>
            <w:tcW w:type="dxa" w:w="2340"/>
          </w:tcPr>
          <w:p>
            <w:r/>
            <w:r>
              <w:rPr>
                <w:rFonts w:ascii="Times New Roman" w:hAnsi="Times New Roman"/>
                <w:sz w:val="18"/>
              </w:rPr>
              <w:t>X-axis = week, Y-axis = SUM(units_sold)</w:t>
            </w:r>
          </w:p>
        </w:tc>
      </w:tr>
      <w:tr>
        <w:tc>
          <w:tcPr>
            <w:tcW w:type="dxa" w:w="2340"/>
          </w:tcPr>
          <w:p>
            <w:r/>
            <w:r>
              <w:rPr>
                <w:rFonts w:ascii="Times New Roman" w:hAnsi="Times New Roman"/>
                <w:sz w:val="18"/>
              </w:rPr>
              <w:t>Promotion segmentation</w:t>
            </w:r>
          </w:p>
        </w:tc>
        <w:tc>
          <w:tcPr>
            <w:tcW w:type="dxa" w:w="2340"/>
          </w:tcPr>
          <w:p>
            <w:r/>
            <w:r>
              <w:rPr>
                <w:rFonts w:ascii="Times New Roman" w:hAnsi="Times New Roman"/>
                <w:sz w:val="18"/>
              </w:rPr>
              <w:t>FactWeeklySales + DimPromotion</w:t>
            </w:r>
          </w:p>
        </w:tc>
        <w:tc>
          <w:tcPr>
            <w:tcW w:type="dxa" w:w="2340"/>
          </w:tcPr>
          <w:p>
            <w:r/>
            <w:r>
              <w:rPr>
                <w:rFonts w:ascii="Times New Roman" w:hAnsi="Times New Roman"/>
                <w:sz w:val="18"/>
              </w:rPr>
              <w:t>deal_type, is_promoted</w:t>
            </w:r>
          </w:p>
        </w:tc>
        <w:tc>
          <w:tcPr>
            <w:tcW w:type="dxa" w:w="2340"/>
          </w:tcPr>
          <w:p>
            <w:r/>
            <w:r>
              <w:rPr>
                <w:rFonts w:ascii="Times New Roman" w:hAnsi="Times New Roman"/>
                <w:sz w:val="18"/>
              </w:rPr>
              <w:t>Group-by / filter dimension</w:t>
            </w:r>
          </w:p>
        </w:tc>
      </w:tr>
      <w:tr>
        <w:tc>
          <w:tcPr>
            <w:tcW w:type="dxa" w:w="2340"/>
          </w:tcPr>
          <w:p>
            <w:r/>
            <w:r>
              <w:rPr>
                <w:rFonts w:ascii="Times New Roman" w:hAnsi="Times New Roman"/>
                <w:sz w:val="18"/>
              </w:rPr>
              <w:t>Sales lift calculation</w:t>
            </w:r>
          </w:p>
        </w:tc>
        <w:tc>
          <w:tcPr>
            <w:tcW w:type="dxa" w:w="2340"/>
          </w:tcPr>
          <w:p>
            <w:r/>
            <w:r>
              <w:rPr>
                <w:rFonts w:ascii="Times New Roman" w:hAnsi="Times New Roman"/>
                <w:sz w:val="18"/>
              </w:rPr>
              <w:t>FactWeeklySales + DimPromotion + DimCategory</w:t>
            </w:r>
          </w:p>
        </w:tc>
        <w:tc>
          <w:tcPr>
            <w:tcW w:type="dxa" w:w="2340"/>
          </w:tcPr>
          <w:p>
            <w:r/>
            <w:r>
              <w:rPr>
                <w:rFonts w:ascii="Times New Roman" w:hAnsi="Times New Roman"/>
                <w:sz w:val="18"/>
              </w:rPr>
              <w:t>units_sold, deal_type, category_code</w:t>
            </w:r>
          </w:p>
        </w:tc>
        <w:tc>
          <w:tcPr>
            <w:tcW w:type="dxa" w:w="2340"/>
          </w:tcPr>
          <w:p>
            <w:r/>
            <w:r>
              <w:rPr>
                <w:rFonts w:ascii="Times New Roman" w:hAnsi="Times New Roman"/>
                <w:sz w:val="18"/>
              </w:rPr>
              <w:t>AVG(promoted) − AVG(baseline)</w:t>
            </w:r>
          </w:p>
        </w:tc>
      </w:tr>
      <w:tr>
        <w:tc>
          <w:tcPr>
            <w:tcW w:type="dxa" w:w="2340"/>
          </w:tcPr>
          <w:p>
            <w:r/>
            <w:r>
              <w:rPr>
                <w:rFonts w:ascii="Times New Roman" w:hAnsi="Times New Roman"/>
                <w:sz w:val="18"/>
              </w:rPr>
              <w:t>Store quartile tiers</w:t>
            </w:r>
          </w:p>
        </w:tc>
        <w:tc>
          <w:tcPr>
            <w:tcW w:type="dxa" w:w="2340"/>
          </w:tcPr>
          <w:p>
            <w:r/>
            <w:r>
              <w:rPr>
                <w:rFonts w:ascii="Times New Roman" w:hAnsi="Times New Roman"/>
                <w:sz w:val="18"/>
              </w:rPr>
              <w:t>FactWeeklySales + DimStore + DimCategory</w:t>
            </w:r>
          </w:p>
        </w:tc>
        <w:tc>
          <w:tcPr>
            <w:tcW w:type="dxa" w:w="2340"/>
          </w:tcPr>
          <w:p>
            <w:r/>
            <w:r>
              <w:rPr>
                <w:rFonts w:ascii="Times New Roman" w:hAnsi="Times New Roman"/>
                <w:sz w:val="18"/>
              </w:rPr>
              <w:t>revenue, avg_income, is_urban, population_density</w:t>
            </w:r>
          </w:p>
        </w:tc>
        <w:tc>
          <w:tcPr>
            <w:tcW w:type="dxa" w:w="2340"/>
          </w:tcPr>
          <w:p>
            <w:r/>
            <w:r>
              <w:rPr>
                <w:rFonts w:ascii="Times New Roman" w:hAnsi="Times New Roman"/>
                <w:sz w:val="18"/>
              </w:rPr>
              <w:t>NTILE(4), demographic comparison</w:t>
            </w:r>
          </w:p>
        </w:tc>
      </w:tr>
      <w:tr>
        <w:tc>
          <w:tcPr>
            <w:tcW w:type="dxa" w:w="2340"/>
          </w:tcPr>
          <w:p>
            <w:r/>
            <w:r>
              <w:rPr>
                <w:rFonts w:ascii="Times New Roman" w:hAnsi="Times New Roman"/>
                <w:sz w:val="18"/>
              </w:rPr>
              <w:t>Product ranking</w:t>
            </w:r>
          </w:p>
        </w:tc>
        <w:tc>
          <w:tcPr>
            <w:tcW w:type="dxa" w:w="2340"/>
          </w:tcPr>
          <w:p>
            <w:r/>
            <w:r>
              <w:rPr>
                <w:rFonts w:ascii="Times New Roman" w:hAnsi="Times New Roman"/>
                <w:sz w:val="18"/>
              </w:rPr>
              <w:t>FactWeeklySales + DimProduct + DimTime</w:t>
            </w:r>
          </w:p>
        </w:tc>
        <w:tc>
          <w:tcPr>
            <w:tcW w:type="dxa" w:w="2340"/>
          </w:tcPr>
          <w:p>
            <w:r/>
            <w:r>
              <w:rPr>
                <w:rFonts w:ascii="Times New Roman" w:hAnsi="Times New Roman"/>
                <w:sz w:val="18"/>
              </w:rPr>
              <w:t>units_sold, upc, description, week_id</w:t>
            </w:r>
          </w:p>
        </w:tc>
        <w:tc>
          <w:tcPr>
            <w:tcW w:type="dxa" w:w="2340"/>
          </w:tcPr>
          <w:p>
            <w:r/>
            <w:r>
              <w:rPr>
                <w:rFonts w:ascii="Times New Roman" w:hAnsi="Times New Roman"/>
                <w:sz w:val="18"/>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8"/>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8"/>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Component</w:t>
            </w:r>
          </w:p>
        </w:tc>
        <w:tc>
          <w:tcPr>
            <w:tcW w:type="dxa" w:w="4680"/>
            <w:shd w:fill="D9E2F3" w:val="clear"/>
          </w:tcPr>
          <w:p>
            <w:r/>
            <w:r>
              <w:rPr>
                <w:rFonts w:ascii="Times New Roman" w:hAnsi="Times New Roman"/>
                <w:b/>
                <w:sz w:val="18"/>
              </w:rPr>
              <w:t>Location</w:t>
            </w:r>
          </w:p>
        </w:tc>
      </w:tr>
      <w:tr>
        <w:tc>
          <w:tcPr>
            <w:tcW w:type="dxa" w:w="4680"/>
          </w:tcPr>
          <w:p>
            <w:r/>
            <w:r>
              <w:rPr>
                <w:rFonts w:ascii="Times New Roman" w:hAnsi="Times New Roman"/>
                <w:sz w:val="18"/>
              </w:rPr>
              <w:t>Staging Database</w:t>
            </w:r>
          </w:p>
        </w:tc>
        <w:tc>
          <w:tcPr>
            <w:tcW w:type="dxa" w:w="4680"/>
          </w:tcPr>
          <w:p>
            <w:r/>
            <w:r>
              <w:rPr>
                <w:rFonts w:ascii="Times New Roman" w:hAnsi="Times New Roman"/>
                <w:sz w:val="18"/>
              </w:rPr>
              <w:t>`team1_staging_area` on SQL Server 2016, ISTM637-PC\SQLEXPRESS (TAMU ISTM Lab)</w:t>
            </w:r>
          </w:p>
        </w:tc>
      </w:tr>
      <w:tr>
        <w:tc>
          <w:tcPr>
            <w:tcW w:type="dxa" w:w="4680"/>
          </w:tcPr>
          <w:p>
            <w:r/>
            <w:r>
              <w:rPr>
                <w:rFonts w:ascii="Times New Roman" w:hAnsi="Times New Roman"/>
                <w:sz w:val="18"/>
              </w:rPr>
              <w:t>Data Mart Database</w:t>
            </w:r>
          </w:p>
        </w:tc>
        <w:tc>
          <w:tcPr>
            <w:tcW w:type="dxa" w:w="4680"/>
          </w:tcPr>
          <w:p>
            <w:r/>
            <w:r>
              <w:rPr>
                <w:rFonts w:ascii="Times New Roman" w:hAnsi="Times New Roman"/>
                <w:sz w:val="18"/>
              </w:rPr>
              <w:t>`team1_dw_area` on SQL Server 2016, ISTM637-PC\SQLEXPRESS (TAMU ISTM Lab)</w:t>
            </w:r>
          </w:p>
        </w:tc>
      </w:tr>
      <w:tr>
        <w:tc>
          <w:tcPr>
            <w:tcW w:type="dxa" w:w="4680"/>
          </w:tcPr>
          <w:p>
            <w:r/>
            <w:r>
              <w:rPr>
                <w:rFonts w:ascii="Times New Roman" w:hAnsi="Times New Roman"/>
                <w:sz w:val="18"/>
              </w:rPr>
              <w:t>SSIS Packages (.dtsx)</w:t>
            </w:r>
          </w:p>
        </w:tc>
        <w:tc>
          <w:tcPr>
            <w:tcW w:type="dxa" w:w="4680"/>
          </w:tcPr>
          <w:p>
            <w:r/>
            <w:r>
              <w:rPr>
                <w:rFonts w:ascii="Times New Roman" w:hAnsi="Times New Roman"/>
                <w:sz w:val="18"/>
              </w:rPr>
              <w:t>Visual Studio 2015 (SSDT) project folder on lab machine</w:t>
            </w:r>
          </w:p>
        </w:tc>
      </w:tr>
      <w:tr>
        <w:tc>
          <w:tcPr>
            <w:tcW w:type="dxa" w:w="4680"/>
          </w:tcPr>
          <w:p>
            <w:r/>
            <w:r>
              <w:rPr>
                <w:rFonts w:ascii="Times New Roman" w:hAnsi="Times New Roman"/>
                <w:sz w:val="18"/>
              </w:rPr>
              <w:t>SSRS Reports (.rdl)</w:t>
            </w:r>
          </w:p>
        </w:tc>
        <w:tc>
          <w:tcPr>
            <w:tcW w:type="dxa" w:w="4680"/>
          </w:tcPr>
          <w:p>
            <w:r/>
            <w:r>
              <w:rPr>
                <w:rFonts w:ascii="Times New Roman" w:hAnsi="Times New Roman"/>
                <w:sz w:val="18"/>
              </w:rPr>
              <w:t>SSRS Report Server on ISTM637-PC: `http://ISTM637-PC/ReportServer`</w:t>
            </w:r>
          </w:p>
        </w:tc>
      </w:tr>
      <w:tr>
        <w:tc>
          <w:tcPr>
            <w:tcW w:type="dxa" w:w="4680"/>
          </w:tcPr>
          <w:p>
            <w:r/>
            <w:r>
              <w:rPr>
                <w:rFonts w:ascii="Times New Roman" w:hAnsi="Times New Roman"/>
                <w:sz w:val="18"/>
              </w:rPr>
              <w:t>SSAS Cube</w:t>
            </w:r>
          </w:p>
        </w:tc>
        <w:tc>
          <w:tcPr>
            <w:tcW w:type="dxa" w:w="4680"/>
          </w:tcPr>
          <w:p>
            <w:r/>
            <w:r>
              <w:rPr>
                <w:rFonts w:ascii="Times New Roman" w:hAnsi="Times New Roman"/>
                <w:sz w:val="18"/>
              </w:rPr>
              <w:t>SSAS instance on ISTM637-PC, database: `DFF_Sales_Cube`</w:t>
            </w:r>
          </w:p>
        </w:tc>
      </w:tr>
      <w:tr>
        <w:tc>
          <w:tcPr>
            <w:tcW w:type="dxa" w:w="4680"/>
          </w:tcPr>
          <w:p>
            <w:r/>
            <w:r>
              <w:rPr>
                <w:rFonts w:ascii="Times New Roman" w:hAnsi="Times New Roman"/>
                <w:sz w:val="18"/>
              </w:rPr>
              <w:t>Power BI Dashboard (.pbix)</w:t>
            </w:r>
          </w:p>
        </w:tc>
        <w:tc>
          <w:tcPr>
            <w:tcW w:type="dxa" w:w="4680"/>
          </w:tcPr>
          <w:p>
            <w:r/>
            <w:r>
              <w:rPr>
                <w:rFonts w:ascii="Times New Roman" w:hAnsi="Times New Roman"/>
                <w:sz w:val="18"/>
              </w:rPr>
              <w:t>Local file: `DFF_BQ8_Dashboard.pbix`, shared with team via OneDrive</w:t>
            </w:r>
          </w:p>
        </w:tc>
      </w:tr>
      <w:tr>
        <w:tc>
          <w:tcPr>
            <w:tcW w:type="dxa" w:w="4680"/>
          </w:tcPr>
          <w:p>
            <w:r/>
            <w:r>
              <w:rPr>
                <w:rFonts w:ascii="Times New Roman" w:hAnsi="Times New Roman"/>
                <w:sz w:val="18"/>
              </w:rPr>
              <w:t>Redshift Queries</w:t>
            </w:r>
          </w:p>
        </w:tc>
        <w:tc>
          <w:tcPr>
            <w:tcW w:type="dxa" w:w="4680"/>
          </w:tcPr>
          <w:p>
            <w:r/>
            <w:r>
              <w:rPr>
                <w:rFonts w:ascii="Times New Roman" w:hAnsi="Times New Roman"/>
                <w:sz w:val="18"/>
              </w:rPr>
              <w:t>Amazon Redshift Query Editor v.2 (AWS Academy lab environment)</w:t>
            </w:r>
          </w:p>
        </w:tc>
      </w:tr>
      <w:tr>
        <w:tc>
          <w:tcPr>
            <w:tcW w:type="dxa" w:w="4680"/>
          </w:tcPr>
          <w:p>
            <w:r/>
            <w:r>
              <w:rPr>
                <w:rFonts w:ascii="Times New Roman" w:hAnsi="Times New Roman"/>
                <w:sz w:val="18"/>
              </w:rPr>
              <w:t>SQL Scripts</w:t>
            </w:r>
          </w:p>
        </w:tc>
        <w:tc>
          <w:tcPr>
            <w:tcW w:type="dxa" w:w="4680"/>
          </w:tcPr>
          <w:p>
            <w:r/>
            <w:r>
              <w:rPr>
                <w:rFonts w:ascii="Times New Roman" w:hAnsi="Times New Roman"/>
                <w:sz w:val="18"/>
              </w:rPr>
              <w:t>`report_4/sql/` directory — 8 scripts (see Appendix A)</w:t>
            </w:r>
          </w:p>
        </w:tc>
      </w:tr>
      <w:tr>
        <w:tc>
          <w:tcPr>
            <w:tcW w:type="dxa" w:w="4680"/>
          </w:tcPr>
          <w:p>
            <w:r/>
            <w:r>
              <w:rPr>
                <w:rFonts w:ascii="Times New Roman" w:hAnsi="Times New Roman"/>
                <w:sz w:val="18"/>
              </w:rPr>
              <w:t>Mapping Tables (Excel)</w:t>
            </w:r>
          </w:p>
        </w:tc>
        <w:tc>
          <w:tcPr>
            <w:tcW w:type="dxa" w:w="4680"/>
          </w:tcPr>
          <w:p>
            <w:r/>
            <w:r>
              <w:rPr>
                <w:rFonts w:ascii="Times New Roman" w:hAnsi="Times New Roman"/>
                <w:sz w:val="18"/>
              </w:rPr>
              <w:t>`report_4/MappingTables.xlsx` (see Appendix B)</w:t>
            </w:r>
          </w:p>
        </w:tc>
      </w:tr>
    </w:tbl>
    <w:p/>
    <w:p>
      <w:pPr>
        <w:spacing w:after="40"/>
      </w:pPr>
    </w:p>
    <w:p>
      <w:pPr>
        <w:pStyle w:val="Heading2"/>
      </w:pPr>
      <w:r>
        <w:rPr>
          <w:rFonts w:ascii="Times New Roman" w:hAnsi="Times New Roman"/>
          <w:color w:val="000000"/>
          <w:sz w:val="28"/>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BQ</w:t>
            </w:r>
          </w:p>
        </w:tc>
        <w:tc>
          <w:tcPr>
            <w:tcW w:type="dxa" w:w="1560"/>
            <w:shd w:fill="D9E2F3" w:val="clear"/>
          </w:tcPr>
          <w:p>
            <w:r/>
            <w:r>
              <w:rPr>
                <w:rFonts w:ascii="Times New Roman" w:hAnsi="Times New Roman"/>
                <w:b/>
                <w:sz w:val="18"/>
              </w:rPr>
              <w:t>Question</w:t>
            </w:r>
          </w:p>
        </w:tc>
        <w:tc>
          <w:tcPr>
            <w:tcW w:type="dxa" w:w="1560"/>
            <w:shd w:fill="D9E2F3" w:val="clear"/>
          </w:tcPr>
          <w:p>
            <w:r/>
            <w:r>
              <w:rPr>
                <w:rFonts w:ascii="Times New Roman" w:hAnsi="Times New Roman"/>
                <w:b/>
                <w:sz w:val="18"/>
              </w:rPr>
              <w:t>Tool Used</w:t>
            </w:r>
          </w:p>
        </w:tc>
        <w:tc>
          <w:tcPr>
            <w:tcW w:type="dxa" w:w="1560"/>
            <w:shd w:fill="D9E2F3" w:val="clear"/>
          </w:tcPr>
          <w:p>
            <w:r/>
            <w:r>
              <w:rPr>
                <w:rFonts w:ascii="Times New Roman" w:hAnsi="Times New Roman"/>
                <w:b/>
                <w:sz w:val="18"/>
              </w:rPr>
              <w:t>Report Delivered</w:t>
            </w:r>
          </w:p>
        </w:tc>
        <w:tc>
          <w:tcPr>
            <w:tcW w:type="dxa" w:w="1560"/>
            <w:shd w:fill="D9E2F3" w:val="clear"/>
          </w:tcPr>
          <w:p>
            <w:r/>
            <w:r>
              <w:rPr>
                <w:rFonts w:ascii="Times New Roman" w:hAnsi="Times New Roman"/>
                <w:b/>
                <w:sz w:val="18"/>
              </w:rPr>
              <w:t>Charts</w:t>
            </w:r>
          </w:p>
        </w:tc>
        <w:tc>
          <w:tcPr>
            <w:tcW w:type="dxa" w:w="1560"/>
            <w:shd w:fill="D9E2F3" w:val="clear"/>
          </w:tcPr>
          <w:p>
            <w:r/>
            <w:r>
              <w:rPr>
                <w:rFonts w:ascii="Times New Roman" w:hAnsi="Times New Roman"/>
                <w:b/>
                <w:sz w:val="18"/>
              </w:rPr>
              <w:t>Analysis</w:t>
            </w:r>
          </w:p>
        </w:tc>
      </w:tr>
      <w:tr>
        <w:tc>
          <w:tcPr>
            <w:tcW w:type="dxa" w:w="1560"/>
          </w:tcPr>
          <w:p>
            <w:r/>
            <w:r>
              <w:rPr>
                <w:rFonts w:ascii="Times New Roman" w:hAnsi="Times New Roman"/>
                <w:sz w:val="18"/>
              </w:rPr>
              <w:t>BQ2</w:t>
            </w:r>
          </w:p>
        </w:tc>
        <w:tc>
          <w:tcPr>
            <w:tcW w:type="dxa" w:w="1560"/>
          </w:tcPr>
          <w:p>
            <w:r/>
            <w:r>
              <w:rPr>
                <w:rFonts w:ascii="Times New Roman" w:hAnsi="Times New Roman"/>
                <w:sz w:val="18"/>
              </w:rPr>
              <w:t>Weekly SDR unit sales</w:t>
            </w:r>
          </w:p>
        </w:tc>
        <w:tc>
          <w:tcPr>
            <w:tcW w:type="dxa" w:w="1560"/>
          </w:tcPr>
          <w:p>
            <w:r/>
            <w:r>
              <w:rPr>
                <w:rFonts w:ascii="Times New Roman" w:hAnsi="Times New Roman"/>
                <w:sz w:val="18"/>
              </w:rPr>
              <w:t>SSRS</w:t>
            </w:r>
          </w:p>
        </w:tc>
        <w:tc>
          <w:tcPr>
            <w:tcW w:type="dxa" w:w="1560"/>
          </w:tcPr>
          <w:p>
            <w:r/>
            <w:r>
              <w:rPr>
                <w:rFonts w:ascii="Times New Roman" w:hAnsi="Times New Roman"/>
                <w:sz w:val="18"/>
              </w:rPr>
              <w:t>Tabular + trend chart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BQ3</w:t>
            </w:r>
          </w:p>
        </w:tc>
        <w:tc>
          <w:tcPr>
            <w:tcW w:type="dxa" w:w="1560"/>
          </w:tcPr>
          <w:p>
            <w:r/>
            <w:r>
              <w:rPr>
                <w:rFonts w:ascii="Times New Roman" w:hAnsi="Times New Roman"/>
                <w:sz w:val="18"/>
              </w:rPr>
              <w:t>Promo vs non-promo sales</w:t>
            </w:r>
          </w:p>
        </w:tc>
        <w:tc>
          <w:tcPr>
            <w:tcW w:type="dxa" w:w="1560"/>
          </w:tcPr>
          <w:p>
            <w:r/>
            <w:r>
              <w:rPr>
                <w:rFonts w:ascii="Times New Roman" w:hAnsi="Times New Roman"/>
                <w:sz w:val="18"/>
              </w:rPr>
              <w:t>SSAS</w:t>
            </w:r>
          </w:p>
        </w:tc>
        <w:tc>
          <w:tcPr>
            <w:tcW w:type="dxa" w:w="1560"/>
          </w:tcPr>
          <w:p>
            <w:r/>
            <w:r>
              <w:rPr>
                <w:rFonts w:ascii="Times New Roman" w:hAnsi="Times New Roman"/>
                <w:sz w:val="18"/>
              </w:rPr>
              <w:t>Cube pivot + drill-down</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BQ4</w:t>
            </w:r>
          </w:p>
        </w:tc>
        <w:tc>
          <w:tcPr>
            <w:tcW w:type="dxa" w:w="1560"/>
          </w:tcPr>
          <w:p>
            <w:r/>
            <w:r>
              <w:rPr>
                <w:rFonts w:ascii="Times New Roman" w:hAnsi="Times New Roman"/>
                <w:sz w:val="18"/>
              </w:rPr>
              <w:t>Promo lift by type (CSO)</w:t>
            </w:r>
          </w:p>
        </w:tc>
        <w:tc>
          <w:tcPr>
            <w:tcW w:type="dxa" w:w="1560"/>
          </w:tcPr>
          <w:p>
            <w:r/>
            <w:r>
              <w:rPr>
                <w:rFonts w:ascii="Times New Roman" w:hAnsi="Times New Roman"/>
                <w:sz w:val="18"/>
              </w:rPr>
              <w:t>Redshift v.2</w:t>
            </w:r>
          </w:p>
        </w:tc>
        <w:tc>
          <w:tcPr>
            <w:tcW w:type="dxa" w:w="1560"/>
          </w:tcPr>
          <w:p>
            <w:r/>
            <w:r>
              <w:rPr>
                <w:rFonts w:ascii="Times New Roman" w:hAnsi="Times New Roman"/>
                <w:sz w:val="18"/>
              </w:rPr>
              <w:t>Analytical result set + lift table</w:t>
            </w:r>
          </w:p>
        </w:tc>
        <w:tc>
          <w:tcPr>
            <w:tcW w:type="dxa" w:w="1560"/>
          </w:tcPr>
          <w:p>
            <w:r/>
            <w:r>
              <w:rPr>
                <w:rFonts w:ascii="Times New Roman" w:hAnsi="Times New Roman"/>
                <w:sz w:val="18"/>
              </w:rPr>
              <w:t>Table</w:t>
            </w:r>
          </w:p>
        </w:tc>
        <w:tc>
          <w:tcPr>
            <w:tcW w:type="dxa" w:w="1560"/>
          </w:tcPr>
          <w:p>
            <w:r/>
            <w:r>
              <w:rPr>
                <w:rFonts w:ascii="Times New Roman" w:hAnsi="Times New Roman"/>
                <w:sz w:val="18"/>
              </w:rPr>
              <w:t>✅</w:t>
            </w:r>
          </w:p>
        </w:tc>
      </w:tr>
      <w:tr>
        <w:tc>
          <w:tcPr>
            <w:tcW w:type="dxa" w:w="1560"/>
          </w:tcPr>
          <w:p>
            <w:r/>
            <w:r>
              <w:rPr>
                <w:rFonts w:ascii="Times New Roman" w:hAnsi="Times New Roman"/>
                <w:sz w:val="18"/>
              </w:rPr>
              <w:t>BQ8</w:t>
            </w:r>
          </w:p>
        </w:tc>
        <w:tc>
          <w:tcPr>
            <w:tcW w:type="dxa" w:w="1560"/>
          </w:tcPr>
          <w:p>
            <w:r/>
            <w:r>
              <w:rPr>
                <w:rFonts w:ascii="Times New Roman" w:hAnsi="Times New Roman"/>
                <w:sz w:val="18"/>
              </w:rPr>
              <w:t>Store quartile tiers (TPA)</w:t>
            </w:r>
          </w:p>
        </w:tc>
        <w:tc>
          <w:tcPr>
            <w:tcW w:type="dxa" w:w="1560"/>
          </w:tcPr>
          <w:p>
            <w:r/>
            <w:r>
              <w:rPr>
                <w:rFonts w:ascii="Times New Roman" w:hAnsi="Times New Roman"/>
                <w:sz w:val="18"/>
              </w:rPr>
              <w:t>Power BI</w:t>
            </w:r>
          </w:p>
        </w:tc>
        <w:tc>
          <w:tcPr>
            <w:tcW w:type="dxa" w:w="1560"/>
          </w:tcPr>
          <w:p>
            <w:r/>
            <w:r>
              <w:rPr>
                <w:rFonts w:ascii="Times New Roman" w:hAnsi="Times New Roman"/>
                <w:sz w:val="18"/>
              </w:rPr>
              <w:t>Interactive dashboard</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BQ9</w:t>
            </w:r>
          </w:p>
        </w:tc>
        <w:tc>
          <w:tcPr>
            <w:tcW w:type="dxa" w:w="1560"/>
          </w:tcPr>
          <w:p>
            <w:r/>
            <w:r>
              <w:rPr>
                <w:rFonts w:ascii="Times New Roman" w:hAnsi="Times New Roman"/>
                <w:sz w:val="18"/>
              </w:rPr>
              <w:t>Top 10 weekly CRA products</w:t>
            </w:r>
          </w:p>
        </w:tc>
        <w:tc>
          <w:tcPr>
            <w:tcW w:type="dxa" w:w="1560"/>
          </w:tcPr>
          <w:p>
            <w:r/>
            <w:r>
              <w:rPr>
                <w:rFonts w:ascii="Times New Roman" w:hAnsi="Times New Roman"/>
                <w:sz w:val="18"/>
              </w:rPr>
              <w:t>SSRS</w:t>
            </w:r>
          </w:p>
        </w:tc>
        <w:tc>
          <w:tcPr>
            <w:tcW w:type="dxa" w:w="1560"/>
          </w:tcPr>
          <w:p>
            <w:r/>
            <w:r>
              <w:rPr>
                <w:rFonts w:ascii="Times New Roman" w:hAnsi="Times New Roman"/>
                <w:sz w:val="18"/>
              </w:rPr>
              <w:t>Parameterized report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bl>
    <w:p/>
    <w:p>
      <w:pPr>
        <w:spacing w:after="40"/>
      </w:pPr>
    </w:p>
    <w:p/>
    <w:p>
      <w:pPr>
        <w:spacing w:after="40"/>
      </w:pPr>
    </w:p>
    <w:p>
      <w:pPr>
        <w:pStyle w:val="Heading1"/>
      </w:pPr>
      <w:r>
        <w:rPr>
          <w:rFonts w:ascii="Times New Roman" w:hAnsi="Times New Roman"/>
          <w:color w:val="000000"/>
          <w:sz w:val="32"/>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32"/>
        </w:rPr>
        <w:t>Section 7: Appendix</w:t>
      </w:r>
    </w:p>
    <w:p>
      <w:pPr>
        <w:spacing w:after="40"/>
      </w:pPr>
    </w:p>
    <w:p>
      <w:pPr>
        <w:pStyle w:val="Heading2"/>
      </w:pPr>
      <w:r>
        <w:rPr>
          <w:rFonts w:ascii="Times New Roman" w:hAnsi="Times New Roman"/>
          <w:color w:val="000000"/>
          <w:sz w:val="28"/>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8"/>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Source File</w:t>
            </w:r>
          </w:p>
        </w:tc>
        <w:tc>
          <w:tcPr>
            <w:tcW w:type="dxa" w:w="2340"/>
            <w:shd w:fill="D9E2F3" w:val="clear"/>
          </w:tcPr>
          <w:p>
            <w:r/>
            <w:r>
              <w:rPr>
                <w:rFonts w:ascii="Times New Roman" w:hAnsi="Times New Roman"/>
                <w:b/>
                <w:sz w:val="18"/>
              </w:rPr>
              <w:t>Key Columns Extracted</w:t>
            </w:r>
          </w:p>
        </w:tc>
        <w:tc>
          <w:tcPr>
            <w:tcW w:type="dxa" w:w="2340"/>
            <w:shd w:fill="D9E2F3" w:val="clear"/>
          </w:tcPr>
          <w:p>
            <w:r/>
            <w:r>
              <w:rPr>
                <w:rFonts w:ascii="Times New Roman" w:hAnsi="Times New Roman"/>
                <w:b/>
                <w:sz w:val="18"/>
              </w:rPr>
              <w:t>Staging Table</w:t>
            </w:r>
          </w:p>
        </w:tc>
        <w:tc>
          <w:tcPr>
            <w:tcW w:type="dxa" w:w="2340"/>
            <w:shd w:fill="D9E2F3" w:val="clear"/>
          </w:tcPr>
          <w:p>
            <w:r/>
            <w:r>
              <w:rPr>
                <w:rFonts w:ascii="Times New Roman" w:hAnsi="Times New Roman"/>
                <w:b/>
                <w:sz w:val="18"/>
              </w:rPr>
              <w:t>Derived Column</w:t>
            </w:r>
          </w:p>
        </w:tc>
      </w:tr>
      <w:tr>
        <w:tc>
          <w:tcPr>
            <w:tcW w:type="dxa" w:w="2340"/>
          </w:tcPr>
          <w:p>
            <w:r/>
            <w:r>
              <w:rPr>
                <w:rFonts w:ascii="Times New Roman" w:hAnsi="Times New Roman"/>
                <w:sz w:val="18"/>
              </w:rPr>
              <w:t>wsdr.csv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WCSO-Done.csv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WTPA_done.csv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Done-WCRA.csv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UPCSDR.csv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UPCCSO.csv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UPCTPA.csv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UPCCRA.csv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DEMO.csv</w:t>
            </w:r>
          </w:p>
        </w:tc>
        <w:tc>
          <w:tcPr>
            <w:tcW w:type="dxa" w:w="2340"/>
          </w:tcPr>
          <w:p>
            <w:r/>
            <w:r>
              <w:rPr>
                <w:rFonts w:ascii="Times New Roman" w:hAnsi="Times New Roman"/>
                <w:sz w:val="18"/>
              </w:rPr>
              <w:t>STORE, NAME, CITY, ZIP, ZONE, URBAN, WEEKVOL, INCOME, EDUC, POVERTY, HSIZEAVG, ETHNIC, DENSITY, AGE9, AGE60, WORKWOM, PRICLOW, PRICMED, PRICHIGH</w:t>
            </w:r>
          </w:p>
        </w:tc>
        <w:tc>
          <w:tcPr>
            <w:tcW w:type="dxa" w:w="2340"/>
          </w:tcPr>
          <w:p>
            <w:r/>
            <w:r>
              <w:rPr>
                <w:rFonts w:ascii="Times New Roman" w:hAnsi="Times New Roman"/>
                <w:sz w:val="18"/>
              </w:rPr>
              <w:t>stg_Store</w:t>
            </w:r>
          </w:p>
        </w:tc>
        <w:tc>
          <w:tcPr>
            <w:tcW w:type="dxa" w:w="2340"/>
          </w:tcPr>
          <w:p>
            <w:r/>
            <w:r>
              <w:rPr>
                <w:rFonts w:ascii="Times New Roman" w:hAnsi="Times New Roman"/>
                <w:sz w:val="18"/>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Staging Source</w:t>
            </w:r>
          </w:p>
        </w:tc>
        <w:tc>
          <w:tcPr>
            <w:tcW w:type="dxa" w:w="2340"/>
            <w:shd w:fill="D9E2F3" w:val="clear"/>
          </w:tcPr>
          <w:p>
            <w:r/>
            <w:r>
              <w:rPr>
                <w:rFonts w:ascii="Times New Roman" w:hAnsi="Times New Roman"/>
                <w:b/>
                <w:sz w:val="18"/>
              </w:rPr>
              <w:t>Transformation</w:t>
            </w:r>
          </w:p>
        </w:tc>
        <w:tc>
          <w:tcPr>
            <w:tcW w:type="dxa" w:w="2340"/>
            <w:shd w:fill="D9E2F3" w:val="clear"/>
          </w:tcPr>
          <w:p>
            <w:r/>
            <w:r>
              <w:rPr>
                <w:rFonts w:ascii="Times New Roman" w:hAnsi="Times New Roman"/>
                <w:b/>
                <w:sz w:val="18"/>
              </w:rPr>
              <w:t>Data Mart Target</w:t>
            </w:r>
          </w:p>
        </w:tc>
        <w:tc>
          <w:tcPr>
            <w:tcW w:type="dxa" w:w="2340"/>
            <w:shd w:fill="D9E2F3" w:val="clear"/>
          </w:tcPr>
          <w:p>
            <w:r/>
            <w:r>
              <w:rPr>
                <w:rFonts w:ascii="Times New Roman" w:hAnsi="Times New Roman"/>
                <w:b/>
                <w:sz w:val="18"/>
              </w:rPr>
              <w:t>Mapping Type</w:t>
            </w:r>
          </w:p>
        </w:tc>
      </w:tr>
      <w:tr>
        <w:tc>
          <w:tcPr>
            <w:tcW w:type="dxa" w:w="2340"/>
          </w:tcPr>
          <w:p>
            <w:r/>
            <w:r>
              <w:rPr>
                <w:rFonts w:ascii="Times New Roman" w:hAnsi="Times New Roman"/>
                <w:sz w:val="18"/>
              </w:rPr>
              <w:t>stg_Movement_*.MOVE</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FactWeeklySales.units_sold</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stg_Movement_*.PRICE / 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FactWeeklySales.unit_price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stg_Movement_*.MOVE × (PRICE/QTY)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FactWeeklySales.revenue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stg_Movement_*.PROFIT</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FactWeeklySales.gross_profit</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stg_Movement_*.PROFIT / revenue × 100</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FactWeeklySales.profit_margin_pct</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stg_Movement_*.UPC</w:t>
            </w:r>
          </w:p>
        </w:tc>
        <w:tc>
          <w:tcPr>
            <w:tcW w:type="dxa" w:w="2340"/>
          </w:tcPr>
          <w:p>
            <w:r/>
            <w:r>
              <w:rPr>
                <w:rFonts w:ascii="Times New Roman" w:hAnsi="Times New Roman"/>
                <w:sz w:val="18"/>
              </w:rPr>
              <w:t>Lookup → DimProduct</w:t>
            </w:r>
          </w:p>
        </w:tc>
        <w:tc>
          <w:tcPr>
            <w:tcW w:type="dxa" w:w="2340"/>
          </w:tcPr>
          <w:p>
            <w:r/>
            <w:r>
              <w:rPr>
                <w:rFonts w:ascii="Times New Roman" w:hAnsi="Times New Roman"/>
                <w:sz w:val="18"/>
              </w:rPr>
              <w:t>FactWeeklySales.product_key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stg_Movement_*.STORE</w:t>
            </w:r>
          </w:p>
        </w:tc>
        <w:tc>
          <w:tcPr>
            <w:tcW w:type="dxa" w:w="2340"/>
          </w:tcPr>
          <w:p>
            <w:r/>
            <w:r>
              <w:rPr>
                <w:rFonts w:ascii="Times New Roman" w:hAnsi="Times New Roman"/>
                <w:sz w:val="18"/>
              </w:rPr>
              <w:t>Lookup → DimStore</w:t>
            </w:r>
          </w:p>
        </w:tc>
        <w:tc>
          <w:tcPr>
            <w:tcW w:type="dxa" w:w="2340"/>
          </w:tcPr>
          <w:p>
            <w:r/>
            <w:r>
              <w:rPr>
                <w:rFonts w:ascii="Times New Roman" w:hAnsi="Times New Roman"/>
                <w:sz w:val="18"/>
              </w:rPr>
              <w:t>FactWeeklySales.store_key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stg_Movement_*.WEEK</w:t>
            </w:r>
          </w:p>
        </w:tc>
        <w:tc>
          <w:tcPr>
            <w:tcW w:type="dxa" w:w="2340"/>
          </w:tcPr>
          <w:p>
            <w:r/>
            <w:r>
              <w:rPr>
                <w:rFonts w:ascii="Times New Roman" w:hAnsi="Times New Roman"/>
                <w:sz w:val="18"/>
              </w:rPr>
              <w:t>Lookup → DimTime</w:t>
            </w:r>
          </w:p>
        </w:tc>
        <w:tc>
          <w:tcPr>
            <w:tcW w:type="dxa" w:w="2340"/>
          </w:tcPr>
          <w:p>
            <w:r/>
            <w:r>
              <w:rPr>
                <w:rFonts w:ascii="Times New Roman" w:hAnsi="Times New Roman"/>
                <w:sz w:val="18"/>
              </w:rPr>
              <w:t>FactWeeklySales.time_key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stg_Movement_*.CATEGORY_CODE</w:t>
            </w:r>
          </w:p>
        </w:tc>
        <w:tc>
          <w:tcPr>
            <w:tcW w:type="dxa" w:w="2340"/>
          </w:tcPr>
          <w:p>
            <w:r/>
            <w:r>
              <w:rPr>
                <w:rFonts w:ascii="Times New Roman" w:hAnsi="Times New Roman"/>
                <w:sz w:val="18"/>
              </w:rPr>
              <w:t>Lookup → DimCategory</w:t>
            </w:r>
          </w:p>
        </w:tc>
        <w:tc>
          <w:tcPr>
            <w:tcW w:type="dxa" w:w="2340"/>
          </w:tcPr>
          <w:p>
            <w:r/>
            <w:r>
              <w:rPr>
                <w:rFonts w:ascii="Times New Roman" w:hAnsi="Times New Roman"/>
                <w:sz w:val="18"/>
              </w:rPr>
              <w:t>FactWeeklySales.category_key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stg_Movement_*.SALE</w:t>
            </w:r>
          </w:p>
        </w:tc>
        <w:tc>
          <w:tcPr>
            <w:tcW w:type="dxa" w:w="2340"/>
          </w:tcPr>
          <w:p>
            <w:r/>
            <w:r>
              <w:rPr>
                <w:rFonts w:ascii="Times New Roman" w:hAnsi="Times New Roman"/>
                <w:sz w:val="18"/>
              </w:rPr>
              <w:t>Lookup → DimPromotion</w:t>
            </w:r>
          </w:p>
        </w:tc>
        <w:tc>
          <w:tcPr>
            <w:tcW w:type="dxa" w:w="2340"/>
          </w:tcPr>
          <w:p>
            <w:r/>
            <w:r>
              <w:rPr>
                <w:rFonts w:ascii="Times New Roman" w:hAnsi="Times New Roman"/>
                <w:sz w:val="18"/>
              </w:rPr>
              <w:t>FactWeeklySales.promotion_key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stg_Store.PRICLOW/MED/HIGH</w:t>
            </w:r>
          </w:p>
        </w:tc>
        <w:tc>
          <w:tcPr>
            <w:tcW w:type="dxa" w:w="2340"/>
          </w:tcPr>
          <w:p>
            <w:r/>
            <w:r>
              <w:rPr>
                <w:rFonts w:ascii="Times New Roman" w:hAnsi="Times New Roman"/>
                <w:sz w:val="18"/>
              </w:rPr>
              <w:t>CASE WHEN</w:t>
            </w:r>
          </w:p>
        </w:tc>
        <w:tc>
          <w:tcPr>
            <w:tcW w:type="dxa" w:w="2340"/>
          </w:tcPr>
          <w:p>
            <w:r/>
            <w:r>
              <w:rPr>
                <w:rFonts w:ascii="Times New Roman" w:hAnsi="Times New Roman"/>
                <w:sz w:val="18"/>
              </w:rPr>
              <w:t>DimStore.price_tier</w:t>
            </w:r>
          </w:p>
        </w:tc>
        <w:tc>
          <w:tcPr>
            <w:tcW w:type="dxa" w:w="2340"/>
          </w:tcPr>
          <w:p>
            <w:r/>
            <w:r>
              <w:rPr>
                <w:rFonts w:ascii="Times New Roman" w:hAnsi="Times New Roman"/>
                <w:sz w:val="18"/>
              </w:rPr>
              <w:t>Conditional</w:t>
            </w:r>
          </w:p>
        </w:tc>
      </w:tr>
      <w:tr>
        <w:tc>
          <w:tcPr>
            <w:tcW w:type="dxa" w:w="2340"/>
          </w:tcPr>
          <w:p>
            <w:r/>
            <w:r>
              <w:rPr>
                <w:rFonts w:ascii="Times New Roman" w:hAnsi="Times New Roman"/>
                <w:sz w:val="18"/>
              </w:rPr>
              <w:t>stg_Store.* (remaining)</w:t>
            </w:r>
          </w:p>
        </w:tc>
        <w:tc>
          <w:tcPr>
            <w:tcW w:type="dxa" w:w="2340"/>
          </w:tcPr>
          <w:p>
            <w:r/>
            <w:r>
              <w:rPr>
                <w:rFonts w:ascii="Times New Roman" w:hAnsi="Times New Roman"/>
                <w:sz w:val="18"/>
              </w:rPr>
              <w:t>CAST to proper types</w:t>
            </w:r>
          </w:p>
        </w:tc>
        <w:tc>
          <w:tcPr>
            <w:tcW w:type="dxa" w:w="2340"/>
          </w:tcPr>
          <w:p>
            <w:r/>
            <w:r>
              <w:rPr>
                <w:rFonts w:ascii="Times New Roman" w:hAnsi="Times New Roman"/>
                <w:sz w:val="18"/>
              </w:rPr>
              <w:t>DimStore.*</w:t>
            </w:r>
          </w:p>
        </w:tc>
        <w:tc>
          <w:tcPr>
            <w:tcW w:type="dxa" w:w="2340"/>
          </w:tcPr>
          <w:p>
            <w:r/>
            <w:r>
              <w:rPr>
                <w:rFonts w:ascii="Times New Roman" w:hAnsi="Times New Roman"/>
                <w:sz w:val="18"/>
              </w:rPr>
              <w:t>Type Conversion</w:t>
            </w:r>
          </w:p>
        </w:tc>
      </w:tr>
      <w:tr>
        <w:tc>
          <w:tcPr>
            <w:tcW w:type="dxa" w:w="2340"/>
          </w:tcPr>
          <w:p>
            <w:r/>
            <w:r>
              <w:rPr>
                <w:rFonts w:ascii="Times New Roman" w:hAnsi="Times New Roman"/>
                <w:sz w:val="18"/>
              </w:rPr>
              <w:t>tmp_Product_All.DESCRIP</w:t>
            </w:r>
          </w:p>
        </w:tc>
        <w:tc>
          <w:tcPr>
            <w:tcW w:type="dxa" w:w="2340"/>
          </w:tcPr>
          <w:p>
            <w:r/>
            <w:r>
              <w:rPr>
                <w:rFonts w:ascii="Times New Roman" w:hAnsi="Times New Roman"/>
                <w:sz w:val="18"/>
              </w:rPr>
              <w:t>Strip #, ~</w:t>
            </w:r>
          </w:p>
        </w:tc>
        <w:tc>
          <w:tcPr>
            <w:tcW w:type="dxa" w:w="2340"/>
          </w:tcPr>
          <w:p>
            <w:r/>
            <w:r>
              <w:rPr>
                <w:rFonts w:ascii="Times New Roman" w:hAnsi="Times New Roman"/>
                <w:sz w:val="18"/>
              </w:rPr>
              <w:t>DimProduct.description</w:t>
            </w:r>
          </w:p>
        </w:tc>
        <w:tc>
          <w:tcPr>
            <w:tcW w:type="dxa" w:w="2340"/>
          </w:tcPr>
          <w:p>
            <w:r/>
            <w:r>
              <w:rPr>
                <w:rFonts w:ascii="Times New Roman" w:hAnsi="Times New Roman"/>
                <w:sz w:val="18"/>
              </w:rPr>
              <w:t>String Cleaning</w:t>
            </w:r>
          </w:p>
        </w:tc>
      </w:tr>
      <w:tr>
        <w:tc>
          <w:tcPr>
            <w:tcW w:type="dxa" w:w="2340"/>
          </w:tcPr>
          <w:p>
            <w:r/>
            <w:r>
              <w:rPr>
                <w:rFonts w:ascii="Times New Roman" w:hAnsi="Times New Roman"/>
                <w:sz w:val="18"/>
              </w:rPr>
              <w:t>(Generated) week_id 1–400</w:t>
            </w:r>
          </w:p>
        </w:tc>
        <w:tc>
          <w:tcPr>
            <w:tcW w:type="dxa" w:w="2340"/>
          </w:tcPr>
          <w:p>
            <w:r/>
            <w:r>
              <w:rPr>
                <w:rFonts w:ascii="Times New Roman" w:hAnsi="Times New Roman"/>
                <w:sz w:val="18"/>
              </w:rPr>
              <w:t>DATEADD formula</w:t>
            </w:r>
          </w:p>
        </w:tc>
        <w:tc>
          <w:tcPr>
            <w:tcW w:type="dxa" w:w="2340"/>
          </w:tcPr>
          <w:p>
            <w:r/>
            <w:r>
              <w:rPr>
                <w:rFonts w:ascii="Times New Roman" w:hAnsi="Times New Roman"/>
                <w:sz w:val="18"/>
              </w:rPr>
              <w:t>DimTime.week_start_date, month, quarter, year</w:t>
            </w:r>
          </w:p>
        </w:tc>
        <w:tc>
          <w:tcPr>
            <w:tcW w:type="dxa" w:w="2340"/>
          </w:tcPr>
          <w:p>
            <w:r/>
            <w:r>
              <w:rPr>
                <w:rFonts w:ascii="Times New Roman" w:hAnsi="Times New Roman"/>
                <w:sz w:val="18"/>
              </w:rPr>
              <w:t>Date Calculation</w:t>
            </w:r>
          </w:p>
        </w:tc>
      </w:tr>
      <w:tr>
        <w:tc>
          <w:tcPr>
            <w:tcW w:type="dxa" w:w="2340"/>
          </w:tcPr>
          <w:p>
            <w:r/>
            <w:r>
              <w:rPr>
                <w:rFonts w:ascii="Times New Roman" w:hAnsi="Times New Roman"/>
                <w:sz w:val="18"/>
              </w:rPr>
              <w:t>(Hardcoded) 28 category codes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DimCategory.*</w:t>
            </w:r>
          </w:p>
        </w:tc>
        <w:tc>
          <w:tcPr>
            <w:tcW w:type="dxa" w:w="2340"/>
          </w:tcPr>
          <w:p>
            <w:r/>
            <w:r>
              <w:rPr>
                <w:rFonts w:ascii="Times New Roman" w:hAnsi="Times New Roman"/>
                <w:sz w:val="18"/>
              </w:rPr>
              <w:t>Static Data</w:t>
            </w:r>
          </w:p>
        </w:tc>
      </w:tr>
      <w:tr>
        <w:tc>
          <w:tcPr>
            <w:tcW w:type="dxa" w:w="2340"/>
          </w:tcPr>
          <w:p>
            <w:r/>
            <w:r>
              <w:rPr>
                <w:rFonts w:ascii="Times New Roman" w:hAnsi="Times New Roman"/>
                <w:sz w:val="18"/>
              </w:rPr>
              <w:t>(Hardcoded) 4 deal types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DimPromotion.*</w:t>
            </w:r>
          </w:p>
        </w:tc>
        <w:tc>
          <w:tcPr>
            <w:tcW w:type="dxa" w:w="2340"/>
          </w:tcPr>
          <w:p>
            <w:r/>
            <w:r>
              <w:rPr>
                <w:rFonts w:ascii="Times New Roman" w:hAnsi="Times New Roman"/>
                <w:sz w:val="18"/>
              </w:rPr>
              <w:t>Static Data</w:t>
            </w:r>
          </w:p>
        </w:tc>
      </w:tr>
    </w:tbl>
    <w:p/>
    <w:p>
      <w:pPr>
        <w:spacing w:after="40"/>
      </w:pPr>
    </w:p>
    <w:p>
      <w:pPr>
        <w:pStyle w:val="Heading2"/>
      </w:pPr>
      <w:r>
        <w:rPr>
          <w:rFonts w:ascii="Times New Roman" w:hAnsi="Times New Roman"/>
          <w:color w:val="000000"/>
          <w:sz w:val="28"/>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DimStore Data Flow</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Description</w:t>
            </w:r>
          </w:p>
        </w:tc>
      </w:tr>
      <w:tr>
        <w:tc>
          <w:tcPr>
            <w:tcW w:type="dxa" w:w="2340"/>
          </w:tcPr>
          <w:p>
            <w:r/>
            <w:r>
              <w:rPr>
                <w:rFonts w:ascii="Times New Roman" w:hAnsi="Times New Roman"/>
                <w:sz w:val="18"/>
              </w:rPr>
              <w:t>30</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Designer — BQ2 Weekly SDR Sales trend report layout</w:t>
            </w:r>
          </w:p>
        </w:tc>
      </w:tr>
      <w:tr>
        <w:tc>
          <w:tcPr>
            <w:tcW w:type="dxa" w:w="2340"/>
          </w:tcPr>
          <w:p>
            <w:r/>
            <w:r>
              <w:rPr>
                <w:rFonts w:ascii="Times New Roman" w:hAnsi="Times New Roman"/>
                <w:sz w:val="18"/>
              </w:rPr>
              <w:t>31</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Preview — BQ2 line chart showing weekly Soft Drink unit sales</w:t>
            </w:r>
          </w:p>
        </w:tc>
      </w:tr>
      <w:tr>
        <w:tc>
          <w:tcPr>
            <w:tcW w:type="dxa" w:w="2340"/>
          </w:tcPr>
          <w:p>
            <w:r/>
            <w:r>
              <w:rPr>
                <w:rFonts w:ascii="Times New Roman" w:hAnsi="Times New Roman"/>
                <w:sz w:val="18"/>
              </w:rPr>
              <w:t>32</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Designer — BQ9 parameterized Cracker ranking report layout</w:t>
            </w:r>
          </w:p>
        </w:tc>
      </w:tr>
      <w:tr>
        <w:tc>
          <w:tcPr>
            <w:tcW w:type="dxa" w:w="2340"/>
          </w:tcPr>
          <w:p>
            <w:r/>
            <w:r>
              <w:rPr>
                <w:rFonts w:ascii="Times New Roman" w:hAnsi="Times New Roman"/>
                <w:sz w:val="18"/>
              </w:rPr>
              <w:t>33</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Preview — BQ9 table showing top 10 products for selected week</w:t>
            </w:r>
          </w:p>
        </w:tc>
      </w:tr>
      <w:tr>
        <w:tc>
          <w:tcPr>
            <w:tcW w:type="dxa" w:w="2340"/>
          </w:tcPr>
          <w:p>
            <w:r/>
            <w:r>
              <w:rPr>
                <w:rFonts w:ascii="Times New Roman" w:hAnsi="Times New Roman"/>
                <w:sz w:val="18"/>
              </w:rPr>
              <w:t>34</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Visual Studio — SSAS Cube structure in Solution Explorer</w:t>
            </w:r>
          </w:p>
        </w:tc>
      </w:tr>
      <w:tr>
        <w:tc>
          <w:tcPr>
            <w:tcW w:type="dxa" w:w="2340"/>
          </w:tcPr>
          <w:p>
            <w:r/>
            <w:r>
              <w:rPr>
                <w:rFonts w:ascii="Times New Roman" w:hAnsi="Times New Roman"/>
                <w:sz w:val="18"/>
              </w:rPr>
              <w:t>35</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BQ3 pivot: deal_type vs AVG(units_sold)</w:t>
            </w:r>
          </w:p>
        </w:tc>
      </w:tr>
      <w:tr>
        <w:tc>
          <w:tcPr>
            <w:tcW w:type="dxa" w:w="2340"/>
          </w:tcPr>
          <w:p>
            <w:r/>
            <w:r>
              <w:rPr>
                <w:rFonts w:ascii="Times New Roman" w:hAnsi="Times New Roman"/>
                <w:sz w:val="18"/>
              </w:rPr>
              <w:t>36</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drill-down by year and quarter</w:t>
            </w:r>
          </w:p>
        </w:tc>
      </w:tr>
      <w:tr>
        <w:tc>
          <w:tcPr>
            <w:tcW w:type="dxa" w:w="2340"/>
          </w:tcPr>
          <w:p>
            <w:r/>
            <w:r>
              <w:rPr>
                <w:rFonts w:ascii="Times New Roman" w:hAnsi="Times New Roman"/>
                <w:sz w:val="18"/>
              </w:rPr>
              <w:t>37</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query editor showing BQ4 promotion lift SQL</w:t>
            </w:r>
          </w:p>
        </w:tc>
      </w:tr>
      <w:tr>
        <w:tc>
          <w:tcPr>
            <w:tcW w:type="dxa" w:w="2340"/>
          </w:tcPr>
          <w:p>
            <w:r/>
            <w:r>
              <w:rPr>
                <w:rFonts w:ascii="Times New Roman" w:hAnsi="Times New Roman"/>
                <w:sz w:val="18"/>
              </w:rPr>
              <w:t>38</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BQ4 results: lift by deal type</w:t>
            </w:r>
          </w:p>
        </w:tc>
      </w:tr>
      <w:tr>
        <w:tc>
          <w:tcPr>
            <w:tcW w:type="dxa" w:w="2340"/>
          </w:tcPr>
          <w:p>
            <w:r/>
            <w:r>
              <w:rPr>
                <w:rFonts w:ascii="Times New Roman" w:hAnsi="Times New Roman"/>
                <w:sz w:val="18"/>
              </w:rPr>
              <w:t>39</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Data model view showing star schema connections</w:t>
            </w:r>
          </w:p>
        </w:tc>
      </w:tr>
      <w:tr>
        <w:tc>
          <w:tcPr>
            <w:tcW w:type="dxa" w:w="2340"/>
          </w:tcPr>
          <w:p>
            <w:r/>
            <w:r>
              <w:rPr>
                <w:rFonts w:ascii="Times New Roman" w:hAnsi="Times New Roman"/>
                <w:sz w:val="18"/>
              </w:rPr>
              <w:t>40</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store quartile bar chart + demographic table</w:t>
            </w:r>
          </w:p>
        </w:tc>
      </w:tr>
      <w:tr>
        <w:tc>
          <w:tcPr>
            <w:tcW w:type="dxa" w:w="2340"/>
          </w:tcPr>
          <w:p>
            <w:r/>
            <w:r>
              <w:rPr>
                <w:rFonts w:ascii="Times New Roman" w:hAnsi="Times New Roman"/>
                <w:sz w:val="18"/>
              </w:rPr>
              <w:t>41</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