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000" w:lineRule="auto"/>
        <w:jc w:val="center"/>
        <w:rPr/>
      </w:pPr>
      <w:r w:rsidDel="00000000" w:rsidR="00000000" w:rsidRPr="00000000">
        <w:rPr>
          <w:b w:val="1"/>
          <w:bCs w:val="1"/>
          <w:sz w:val="56"/>
          <w:szCs w:val="56"/>
          <w:rtl w:val="0"/>
        </w:rPr>
        <w:t xml:space="preserve">BATTERY ENERGY STORAGE SYSTEM</w:t>
      </w:r>
      <w:r w:rsidDel="00000000" w:rsidR="00000000" w:rsidRPr="00000000">
        <w:rPr>
          <w:rtl w:val="0"/>
        </w:rPr>
      </w:r>
    </w:p>
    <w:p w:rsidR="00000000" w:rsidDel="00000000" w:rsidP="00000000" w:rsidRDefault="00000000" w:rsidRPr="00000000" w14:paraId="00000002">
      <w:pPr>
        <w:spacing w:after="0" w:before="100" w:lineRule="auto"/>
        <w:jc w:val="center"/>
        <w:rPr/>
      </w:pPr>
      <w:r w:rsidDel="00000000" w:rsidR="00000000" w:rsidRPr="00000000">
        <w:rPr>
          <w:b w:val="1"/>
          <w:bCs w:val="1"/>
          <w:sz w:val="56"/>
          <w:szCs w:val="56"/>
          <w:rtl w:val="0"/>
        </w:rPr>
        <w:t xml:space="preserve">(BESS)</w:t>
      </w:r>
      <w:r w:rsidDel="00000000" w:rsidR="00000000" w:rsidRPr="00000000">
        <w:rPr>
          <w:rtl w:val="0"/>
        </w:rPr>
      </w:r>
    </w:p>
    <w:p w:rsidR="00000000" w:rsidDel="00000000" w:rsidP="00000000" w:rsidRDefault="00000000" w:rsidRPr="00000000" w14:paraId="00000003">
      <w:pPr>
        <w:spacing w:after="0" w:before="300" w:lineRule="auto"/>
        <w:jc w:val="center"/>
        <w:rPr/>
      </w:pPr>
      <w:r w:rsidDel="00000000" w:rsidR="00000000" w:rsidRPr="00000000">
        <w:rPr>
          <w:sz w:val="30"/>
          <w:szCs w:val="30"/>
          <w:rtl w:val="0"/>
        </w:rPr>
        <w:t xml:space="preserve">Industry &amp; Market Report</w:t>
      </w:r>
      <w:r w:rsidDel="00000000" w:rsidR="00000000" w:rsidRPr="00000000">
        <w:rPr>
          <w:rtl w:val="0"/>
        </w:rPr>
      </w:r>
    </w:p>
    <w:p w:rsidR="00000000" w:rsidDel="00000000" w:rsidP="00000000" w:rsidRDefault="00000000" w:rsidRPr="00000000" w14:paraId="00000004">
      <w:pPr>
        <w:spacing w:after="0" w:before="60" w:lineRule="auto"/>
        <w:jc w:val="center"/>
        <w:rPr/>
      </w:pPr>
      <w:r w:rsidDel="00000000" w:rsidR="00000000" w:rsidRPr="00000000">
        <w:rPr>
          <w:i w:val="1"/>
          <w:iCs w:val="1"/>
          <w:sz w:val="24"/>
          <w:szCs w:val="24"/>
          <w:rtl w:val="0"/>
        </w:rPr>
        <w:t xml:space="preserve">India Market Focus, with Global Context</w:t>
      </w:r>
      <w:r w:rsidDel="00000000" w:rsidR="00000000" w:rsidRPr="00000000">
        <w:rPr>
          <w:rtl w:val="0"/>
        </w:rPr>
      </w:r>
    </w:p>
    <w:p w:rsidR="00000000" w:rsidDel="00000000" w:rsidP="00000000" w:rsidRDefault="00000000" w:rsidRPr="00000000" w14:paraId="00000005">
      <w:pPr>
        <w:spacing w:after="0" w:before="1600" w:lineRule="auto"/>
        <w:jc w:val="left"/>
        <w:rPr/>
      </w:pP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pBdr>
          <w:bottom w:color="2e8b57" w:space="6" w:sz="8" w:val="single"/>
        </w:pBdr>
        <w:spacing w:after="200" w:before="0" w:lineRule="auto"/>
        <w:rPr>
          <w:color w:val="000000"/>
        </w:rPr>
      </w:pPr>
      <w:r w:rsidDel="00000000" w:rsidR="00000000" w:rsidRPr="00000000">
        <w:rPr>
          <w:b w:val="1"/>
          <w:bCs w:val="1"/>
          <w:color w:val="000000"/>
          <w:sz w:val="32"/>
          <w:szCs w:val="32"/>
          <w:rtl w:val="0"/>
        </w:rPr>
        <w:t xml:space="preserve">Table of Contents</w:t>
      </w:r>
      <w:r w:rsidDel="00000000" w:rsidR="00000000" w:rsidRPr="00000000">
        <w:rPr>
          <w:rtl w:val="0"/>
        </w:rPr>
      </w:r>
    </w:p>
    <w:p w:rsidR="00000000" w:rsidDel="00000000" w:rsidP="00000000" w:rsidRDefault="00000000" w:rsidRPr="00000000" w14:paraId="00000008">
      <w:pPr>
        <w:tabs>
          <w:tab w:val="right" w:leader="none" w:pos="10080"/>
        </w:tabs>
        <w:spacing w:after="130" w:lineRule="auto"/>
        <w:rPr/>
      </w:pPr>
      <w:r w:rsidDel="00000000" w:rsidR="00000000" w:rsidRPr="00000000">
        <w:rPr>
          <w:b w:val="1"/>
          <w:bCs w:val="1"/>
          <w:sz w:val="22"/>
          <w:szCs w:val="22"/>
          <w:rtl w:val="0"/>
        </w:rPr>
        <w:t xml:space="preserve">Executive Summary</w:t>
        <w:tab/>
        <w:t xml:space="preserve">3</w:t>
      </w:r>
      <w:r w:rsidDel="00000000" w:rsidR="00000000" w:rsidRPr="00000000">
        <w:rPr>
          <w:rtl w:val="0"/>
        </w:rPr>
      </w:r>
    </w:p>
    <w:p w:rsidR="00000000" w:rsidDel="00000000" w:rsidP="00000000" w:rsidRDefault="00000000" w:rsidRPr="00000000" w14:paraId="00000009">
      <w:pPr>
        <w:tabs>
          <w:tab w:val="right" w:leader="none" w:pos="10080"/>
        </w:tabs>
        <w:spacing w:after="130" w:lineRule="auto"/>
        <w:rPr/>
      </w:pPr>
      <w:r w:rsidDel="00000000" w:rsidR="00000000" w:rsidRPr="00000000">
        <w:rPr>
          <w:b w:val="1"/>
          <w:bCs w:val="1"/>
          <w:sz w:val="22"/>
          <w:szCs w:val="22"/>
          <w:rtl w:val="0"/>
        </w:rPr>
        <w:t xml:space="preserve">Investment Trends &amp; Incentives</w:t>
        <w:tab/>
        <w:t xml:space="preserve">4</w:t>
      </w:r>
      <w:r w:rsidDel="00000000" w:rsidR="00000000" w:rsidRPr="00000000">
        <w:rPr>
          <w:rtl w:val="0"/>
        </w:rPr>
      </w:r>
    </w:p>
    <w:p w:rsidR="00000000" w:rsidDel="00000000" w:rsidP="00000000" w:rsidRDefault="00000000" w:rsidRPr="00000000" w14:paraId="0000000A">
      <w:pPr>
        <w:tabs>
          <w:tab w:val="right" w:leader="none" w:pos="10080"/>
        </w:tabs>
        <w:spacing w:after="130" w:lineRule="auto"/>
        <w:ind w:left="360" w:firstLine="0"/>
        <w:rPr/>
      </w:pPr>
      <w:r w:rsidDel="00000000" w:rsidR="00000000" w:rsidRPr="00000000">
        <w:rPr>
          <w:b w:val="0"/>
          <w:bCs w:val="0"/>
          <w:sz w:val="20"/>
          <w:szCs w:val="20"/>
          <w:rtl w:val="0"/>
        </w:rPr>
        <w:t xml:space="preserve">Risks &amp; Challenges</w:t>
        <w:tab/>
        <w:t xml:space="preserve">4</w:t>
      </w:r>
      <w:r w:rsidDel="00000000" w:rsidR="00000000" w:rsidRPr="00000000">
        <w:rPr>
          <w:rtl w:val="0"/>
        </w:rPr>
      </w:r>
    </w:p>
    <w:p w:rsidR="00000000" w:rsidDel="00000000" w:rsidP="00000000" w:rsidRDefault="00000000" w:rsidRPr="00000000" w14:paraId="0000000B">
      <w:pPr>
        <w:tabs>
          <w:tab w:val="right" w:leader="none" w:pos="10080"/>
        </w:tabs>
        <w:spacing w:after="130" w:lineRule="auto"/>
        <w:rPr/>
      </w:pPr>
      <w:r w:rsidDel="00000000" w:rsidR="00000000" w:rsidRPr="00000000">
        <w:rPr>
          <w:b w:val="1"/>
          <w:bCs w:val="1"/>
          <w:sz w:val="22"/>
          <w:szCs w:val="22"/>
          <w:rtl w:val="0"/>
        </w:rPr>
        <w:t xml:space="preserve">Market Overview</w:t>
        <w:tab/>
        <w:t xml:space="preserve">5</w:t>
      </w:r>
      <w:r w:rsidDel="00000000" w:rsidR="00000000" w:rsidRPr="00000000">
        <w:rPr>
          <w:rtl w:val="0"/>
        </w:rPr>
      </w:r>
    </w:p>
    <w:p w:rsidR="00000000" w:rsidDel="00000000" w:rsidP="00000000" w:rsidRDefault="00000000" w:rsidRPr="00000000" w14:paraId="0000000C">
      <w:pPr>
        <w:tabs>
          <w:tab w:val="right" w:leader="none" w:pos="10080"/>
        </w:tabs>
        <w:spacing w:after="130" w:lineRule="auto"/>
        <w:rPr/>
      </w:pPr>
      <w:r w:rsidDel="00000000" w:rsidR="00000000" w:rsidRPr="00000000">
        <w:rPr>
          <w:b w:val="1"/>
          <w:bCs w:val="1"/>
          <w:sz w:val="22"/>
          <w:szCs w:val="22"/>
          <w:rtl w:val="0"/>
        </w:rPr>
        <w:t xml:space="preserve">Policy &amp; Regulatory Landscape</w:t>
        <w:tab/>
        <w:t xml:space="preserve">6</w:t>
      </w:r>
      <w:r w:rsidDel="00000000" w:rsidR="00000000" w:rsidRPr="00000000">
        <w:rPr>
          <w:rtl w:val="0"/>
        </w:rPr>
      </w:r>
    </w:p>
    <w:p w:rsidR="00000000" w:rsidDel="00000000" w:rsidP="00000000" w:rsidRDefault="00000000" w:rsidRPr="00000000" w14:paraId="0000000D">
      <w:pPr>
        <w:tabs>
          <w:tab w:val="right" w:leader="none" w:pos="10080"/>
        </w:tabs>
        <w:spacing w:after="130" w:lineRule="auto"/>
        <w:ind w:left="360" w:firstLine="0"/>
        <w:rPr/>
      </w:pPr>
      <w:r w:rsidDel="00000000" w:rsidR="00000000" w:rsidRPr="00000000">
        <w:rPr>
          <w:b w:val="0"/>
          <w:bCs w:val="0"/>
          <w:sz w:val="20"/>
          <w:szCs w:val="20"/>
          <w:rtl w:val="0"/>
        </w:rPr>
        <w:t xml:space="preserve">State</w:t>
      </w:r>
      <w:r w:rsidDel="00000000" w:rsidR="00000000" w:rsidRPr="00000000">
        <w:rPr>
          <w:sz w:val="20"/>
          <w:szCs w:val="20"/>
          <w:rtl w:val="0"/>
        </w:rPr>
        <w:t xml:space="preserve"> </w:t>
      </w:r>
      <w:r w:rsidDel="00000000" w:rsidR="00000000" w:rsidRPr="00000000">
        <w:rPr>
          <w:b w:val="0"/>
          <w:bCs w:val="0"/>
          <w:sz w:val="20"/>
          <w:szCs w:val="20"/>
          <w:rtl w:val="0"/>
        </w:rPr>
        <w:t xml:space="preserve">Level BESS Incentives</w:t>
        <w:tab/>
        <w:t xml:space="preserve">7</w:t>
      </w:r>
      <w:r w:rsidDel="00000000" w:rsidR="00000000" w:rsidRPr="00000000">
        <w:rPr>
          <w:rtl w:val="0"/>
        </w:rPr>
      </w:r>
    </w:p>
    <w:p w:rsidR="00000000" w:rsidDel="00000000" w:rsidP="00000000" w:rsidRDefault="00000000" w:rsidRPr="00000000" w14:paraId="0000000E">
      <w:pPr>
        <w:tabs>
          <w:tab w:val="right" w:leader="none" w:pos="10080"/>
        </w:tabs>
        <w:spacing w:after="130" w:lineRule="auto"/>
        <w:rPr/>
      </w:pPr>
      <w:r w:rsidDel="00000000" w:rsidR="00000000" w:rsidRPr="00000000">
        <w:rPr>
          <w:b w:val="1"/>
          <w:bCs w:val="1"/>
          <w:sz w:val="22"/>
          <w:szCs w:val="22"/>
          <w:rtl w:val="0"/>
        </w:rPr>
        <w:t xml:space="preserve">Tariff Design &amp; Revenue Models</w:t>
        <w:tab/>
        <w:t xml:space="preserve">8</w:t>
      </w:r>
      <w:r w:rsidDel="00000000" w:rsidR="00000000" w:rsidRPr="00000000">
        <w:rPr>
          <w:rtl w:val="0"/>
        </w:rPr>
      </w:r>
    </w:p>
    <w:p w:rsidR="00000000" w:rsidDel="00000000" w:rsidP="00000000" w:rsidRDefault="00000000" w:rsidRPr="00000000" w14:paraId="0000000F">
      <w:pPr>
        <w:tabs>
          <w:tab w:val="right" w:leader="none" w:pos="10080"/>
        </w:tabs>
        <w:spacing w:after="130" w:lineRule="auto"/>
        <w:rPr/>
      </w:pPr>
      <w:r w:rsidDel="00000000" w:rsidR="00000000" w:rsidRPr="00000000">
        <w:rPr>
          <w:b w:val="1"/>
          <w:bCs w:val="1"/>
          <w:sz w:val="22"/>
          <w:szCs w:val="22"/>
          <w:rtl w:val="0"/>
        </w:rPr>
        <w:t xml:space="preserve">Technology Landscape</w:t>
        <w:tab/>
        <w:t xml:space="preserve">10</w:t>
      </w:r>
      <w:r w:rsidDel="00000000" w:rsidR="00000000" w:rsidRPr="00000000">
        <w:rPr>
          <w:rtl w:val="0"/>
        </w:rPr>
      </w:r>
    </w:p>
    <w:p w:rsidR="00000000" w:rsidDel="00000000" w:rsidP="00000000" w:rsidRDefault="00000000" w:rsidRPr="00000000" w14:paraId="00000010">
      <w:pPr>
        <w:tabs>
          <w:tab w:val="right" w:leader="none" w:pos="10080"/>
        </w:tabs>
        <w:spacing w:after="130" w:lineRule="auto"/>
        <w:rPr/>
      </w:pPr>
      <w:r w:rsidDel="00000000" w:rsidR="00000000" w:rsidRPr="00000000">
        <w:rPr>
          <w:b w:val="1"/>
          <w:bCs w:val="1"/>
          <w:sz w:val="22"/>
          <w:szCs w:val="22"/>
          <w:rtl w:val="0"/>
        </w:rPr>
        <w:t xml:space="preserve">Financial Overview</w:t>
        <w:tab/>
        <w:t xml:space="preserve">13</w:t>
      </w:r>
      <w:r w:rsidDel="00000000" w:rsidR="00000000" w:rsidRPr="00000000">
        <w:rPr>
          <w:rtl w:val="0"/>
        </w:rPr>
      </w:r>
    </w:p>
    <w:p w:rsidR="00000000" w:rsidDel="00000000" w:rsidP="00000000" w:rsidRDefault="00000000" w:rsidRPr="00000000" w14:paraId="00000011">
      <w:pPr>
        <w:tabs>
          <w:tab w:val="right" w:leader="none" w:pos="10080"/>
        </w:tabs>
        <w:spacing w:after="130" w:lineRule="auto"/>
        <w:rPr/>
      </w:pPr>
      <w:r w:rsidDel="00000000" w:rsidR="00000000" w:rsidRPr="00000000">
        <w:rPr>
          <w:b w:val="1"/>
          <w:bCs w:val="1"/>
          <w:sz w:val="22"/>
          <w:szCs w:val="22"/>
          <w:rtl w:val="0"/>
        </w:rPr>
        <w:t xml:space="preserve">Competitive Landscape &amp; Key Players</w:t>
        <w:tab/>
        <w:t xml:space="preserve">15</w:t>
      </w:r>
      <w:r w:rsidDel="00000000" w:rsidR="00000000" w:rsidRPr="00000000">
        <w:rPr>
          <w:rtl w:val="0"/>
        </w:rPr>
      </w:r>
    </w:p>
    <w:p w:rsidR="00000000" w:rsidDel="00000000" w:rsidP="00000000" w:rsidRDefault="00000000" w:rsidRPr="00000000" w14:paraId="00000012">
      <w:pPr>
        <w:tabs>
          <w:tab w:val="right" w:leader="none" w:pos="10080"/>
        </w:tabs>
        <w:spacing w:after="130" w:lineRule="auto"/>
        <w:rPr/>
      </w:pPr>
      <w:r w:rsidDel="00000000" w:rsidR="00000000" w:rsidRPr="00000000">
        <w:rPr>
          <w:b w:val="1"/>
          <w:bCs w:val="1"/>
          <w:sz w:val="22"/>
          <w:szCs w:val="22"/>
          <w:rtl w:val="0"/>
        </w:rPr>
        <w:t xml:space="preserve">Market Outlook &amp; Growth Projections</w:t>
        <w:tab/>
        <w:t xml:space="preserve">16</w:t>
      </w:r>
      <w:r w:rsidDel="00000000" w:rsidR="00000000" w:rsidRPr="00000000">
        <w:rPr>
          <w:rtl w:val="0"/>
        </w:rPr>
      </w:r>
    </w:p>
    <w:p w:rsidR="00000000" w:rsidDel="00000000" w:rsidP="00000000" w:rsidRDefault="00000000" w:rsidRPr="00000000" w14:paraId="00000013">
      <w:pPr>
        <w:tabs>
          <w:tab w:val="right" w:leader="none" w:pos="10080"/>
        </w:tabs>
        <w:spacing w:after="130" w:lineRule="auto"/>
        <w:rPr/>
      </w:pPr>
      <w:r w:rsidDel="00000000" w:rsidR="00000000" w:rsidRPr="00000000">
        <w:rPr>
          <w:b w:val="1"/>
          <w:bCs w:val="1"/>
          <w:sz w:val="22"/>
          <w:szCs w:val="22"/>
          <w:rtl w:val="0"/>
        </w:rPr>
        <w:t xml:space="preserve">Conclusion &amp; Strategic Recommendations</w:t>
        <w:tab/>
        <w:t xml:space="preserve">17</w:t>
      </w: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spacing w:after="40" w:before="200" w:lineRule="auto"/>
        <w:rPr/>
      </w:pPr>
      <w:r w:rsidDel="00000000" w:rsidR="00000000" w:rsidRPr="00000000">
        <w:rPr>
          <w:rtl w:val="0"/>
        </w:rPr>
      </w:r>
    </w:p>
    <w:p w:rsidR="00000000" w:rsidDel="00000000" w:rsidP="00000000" w:rsidRDefault="00000000" w:rsidRPr="00000000" w14:paraId="00000016">
      <w:pPr>
        <w:pStyle w:val="Heading1"/>
        <w:pBdr>
          <w:bottom w:color="2e8b57" w:space="6" w:sz="8" w:val="single"/>
        </w:pBdr>
        <w:spacing w:after="200" w:before="0" w:lineRule="auto"/>
        <w:rPr>
          <w:color w:val="000000"/>
        </w:rPr>
      </w:pPr>
      <w:r w:rsidDel="00000000" w:rsidR="00000000" w:rsidRPr="00000000">
        <w:rPr>
          <w:b w:val="1"/>
          <w:bCs w:val="1"/>
          <w:color w:val="000000"/>
          <w:sz w:val="32"/>
          <w:szCs w:val="32"/>
          <w:rtl w:val="0"/>
        </w:rPr>
        <w:t xml:space="preserve">Executive Summary</w:t>
      </w:r>
      <w:r w:rsidDel="00000000" w:rsidR="00000000" w:rsidRPr="00000000">
        <w:rPr>
          <w:rtl w:val="0"/>
        </w:rPr>
      </w:r>
    </w:p>
    <w:p w:rsidR="00000000" w:rsidDel="00000000" w:rsidP="00000000" w:rsidRDefault="00000000" w:rsidRPr="00000000" w14:paraId="00000017">
      <w:pPr>
        <w:pStyle w:val="Heading2"/>
        <w:spacing w:after="120" w:before="240" w:lineRule="auto"/>
        <w:jc w:val="both"/>
        <w:rPr>
          <w:color w:val="000000"/>
        </w:rPr>
      </w:pPr>
      <w:r w:rsidDel="00000000" w:rsidR="00000000" w:rsidRPr="00000000">
        <w:rPr>
          <w:b w:val="1"/>
          <w:bCs w:val="1"/>
          <w:color w:val="000000"/>
          <w:sz w:val="26"/>
          <w:szCs w:val="26"/>
          <w:rtl w:val="0"/>
        </w:rPr>
        <w:t xml:space="preserve">What is BESS?</w:t>
      </w:r>
      <w:r w:rsidDel="00000000" w:rsidR="00000000" w:rsidRPr="00000000">
        <w:rPr>
          <w:rtl w:val="0"/>
        </w:rPr>
      </w:r>
    </w:p>
    <w:p w:rsidR="00000000" w:rsidDel="00000000" w:rsidP="00000000" w:rsidRDefault="00000000" w:rsidRPr="00000000" w14:paraId="00000018">
      <w:pPr>
        <w:spacing w:after="120" w:lineRule="auto"/>
        <w:jc w:val="both"/>
        <w:rPr/>
      </w:pPr>
      <w:r w:rsidDel="00000000" w:rsidR="00000000" w:rsidRPr="00000000">
        <w:rPr>
          <w:i w:val="0"/>
          <w:iCs w:val="0"/>
          <w:sz w:val="21"/>
          <w:szCs w:val="21"/>
          <w:rtl w:val="0"/>
        </w:rPr>
        <w:t xml:space="preserve">A Battery Energy Storage System is a place where we can store energy for later usage. Battery Energy Storage System Technologies are becoming a game changer in the shift away from fossil fuels and toward renewable energy. Battery storage systems will become increasingly crucial in supporting green energy supplies and meeting electricity demands.</w:t>
      </w:r>
      <w:r w:rsidDel="00000000" w:rsidR="00000000" w:rsidRPr="00000000">
        <w:rPr>
          <w:rtl w:val="0"/>
        </w:rPr>
      </w:r>
    </w:p>
    <w:p w:rsidR="00000000" w:rsidDel="00000000" w:rsidP="00000000" w:rsidRDefault="00000000" w:rsidRPr="00000000" w14:paraId="00000019">
      <w:pPr>
        <w:pStyle w:val="Heading2"/>
        <w:spacing w:after="120" w:before="240" w:lineRule="auto"/>
        <w:jc w:val="both"/>
        <w:rPr>
          <w:color w:val="000000"/>
        </w:rPr>
      </w:pPr>
      <w:r w:rsidDel="00000000" w:rsidR="00000000" w:rsidRPr="00000000">
        <w:rPr>
          <w:b w:val="1"/>
          <w:bCs w:val="1"/>
          <w:color w:val="000000"/>
          <w:sz w:val="26"/>
          <w:szCs w:val="26"/>
          <w:rtl w:val="0"/>
        </w:rPr>
        <w:t xml:space="preserve">Why &amp; How is it important?</w:t>
      </w:r>
      <w:r w:rsidDel="00000000" w:rsidR="00000000" w:rsidRPr="00000000">
        <w:rPr>
          <w:rtl w:val="0"/>
        </w:rPr>
      </w:r>
    </w:p>
    <w:p w:rsidR="00000000" w:rsidDel="00000000" w:rsidP="00000000" w:rsidRDefault="00000000" w:rsidRPr="00000000" w14:paraId="0000001A">
      <w:pPr>
        <w:spacing w:after="120" w:lineRule="auto"/>
        <w:jc w:val="both"/>
        <w:rPr/>
      </w:pPr>
      <w:r w:rsidDel="00000000" w:rsidR="00000000" w:rsidRPr="00000000">
        <w:rPr>
          <w:i w:val="0"/>
          <w:iCs w:val="0"/>
          <w:sz w:val="21"/>
          <w:szCs w:val="21"/>
          <w:rtl w:val="0"/>
        </w:rPr>
        <w:t xml:space="preserve">It is important because it addresses one of the most significant challenges of renewable energy: inconsistency.</w:t>
      </w:r>
      <w:r w:rsidDel="00000000" w:rsidR="00000000" w:rsidRPr="00000000">
        <w:rPr>
          <w:rtl w:val="0"/>
        </w:rPr>
      </w:r>
    </w:p>
    <w:p w:rsidR="00000000" w:rsidDel="00000000" w:rsidP="00000000" w:rsidRDefault="00000000" w:rsidRPr="00000000" w14:paraId="0000001B">
      <w:pPr>
        <w:spacing w:after="120" w:lineRule="auto"/>
        <w:jc w:val="both"/>
        <w:rPr/>
      </w:pPr>
      <w:r w:rsidDel="00000000" w:rsidR="00000000" w:rsidRPr="00000000">
        <w:rPr>
          <w:i w:val="0"/>
          <w:iCs w:val="0"/>
          <w:sz w:val="21"/>
          <w:szCs w:val="21"/>
          <w:rtl w:val="0"/>
        </w:rPr>
        <w:t xml:space="preserve">Let's see how:-</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Manages renewable energy: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India has large solar and wind installations in Maharashtra, Karnataka, Gujarat, Andhra Pradesh, and battery storage helps balance supply when generation is fluctuating.</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Improves grid reliability: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Especially helpful during peak evening demand or sudden grid imbalances in rural and urban areas.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Reduces fossil fuel use: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Replaces some regions' diesel generators and coal-based peaking power plants.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Supports energy access: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Solar + battery systems offer off-grid electricity reliably in remote villages or islands.</w:t>
      </w:r>
      <w:r w:rsidDel="00000000" w:rsidR="00000000" w:rsidRPr="00000000">
        <w:rPr>
          <w:rtl w:val="0"/>
        </w:rPr>
      </w:r>
    </w:p>
    <w:p w:rsidR="00000000" w:rsidDel="00000000" w:rsidP="00000000" w:rsidRDefault="00000000" w:rsidRPr="00000000" w14:paraId="00000020">
      <w:pPr>
        <w:pStyle w:val="Heading2"/>
        <w:spacing w:after="120" w:before="240" w:lineRule="auto"/>
        <w:jc w:val="both"/>
        <w:rPr>
          <w:color w:val="000000"/>
        </w:rPr>
      </w:pPr>
      <w:r w:rsidDel="00000000" w:rsidR="00000000" w:rsidRPr="00000000">
        <w:rPr>
          <w:b w:val="1"/>
          <w:bCs w:val="1"/>
          <w:color w:val="000000"/>
          <w:sz w:val="26"/>
          <w:szCs w:val="26"/>
          <w:rtl w:val="0"/>
        </w:rPr>
        <w:t xml:space="preserve">Market Size</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Market Size by Revenue: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the market was valued at $7.8 billion (₹67,080 cr) in 2024 in India and globally is $37.5 billion (₹3,22,500 cr)</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Market size by Capex: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India's Total CapEx in 2024 was $6 billion (₹51,600 crore). Compared to $66 billion (₹5,67,600 crore) globally.</w:t>
      </w:r>
      <w:r w:rsidDel="00000000" w:rsidR="00000000" w:rsidRPr="00000000">
        <w:rPr>
          <w:rtl w:val="0"/>
        </w:rPr>
      </w:r>
    </w:p>
    <w:p w:rsidR="00000000" w:rsidDel="00000000" w:rsidP="00000000" w:rsidRDefault="00000000" w:rsidRPr="00000000" w14:paraId="00000023">
      <w:pPr>
        <w:pStyle w:val="Heading2"/>
        <w:spacing w:after="120" w:before="240" w:lineRule="auto"/>
        <w:jc w:val="both"/>
        <w:rPr>
          <w:color w:val="000000"/>
        </w:rPr>
      </w:pPr>
      <w:r w:rsidDel="00000000" w:rsidR="00000000" w:rsidRPr="00000000">
        <w:rPr>
          <w:b w:val="1"/>
          <w:bCs w:val="1"/>
          <w:color w:val="000000"/>
          <w:sz w:val="26"/>
          <w:szCs w:val="26"/>
          <w:rtl w:val="0"/>
        </w:rPr>
        <w:t xml:space="preserve">Estimated Growth (in terms of Installed Capacity)</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BESS Sector is estimated to grow by 35-37% CAGR in India between 2026-27 to 2031-32 by the Ministry of Power</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Globally, it is estimated to grow by 35% by Bloomberg.</w:t>
      </w:r>
      <w:r w:rsidDel="00000000" w:rsidR="00000000" w:rsidRPr="00000000">
        <w:rPr>
          <w:rtl w:val="0"/>
        </w:rPr>
      </w:r>
    </w:p>
    <w:p w:rsidR="00000000" w:rsidDel="00000000" w:rsidP="00000000" w:rsidRDefault="00000000" w:rsidRPr="00000000" w14:paraId="00000026">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27">
      <w:pPr>
        <w:spacing w:after="40" w:before="200" w:lineRule="auto"/>
        <w:rPr/>
      </w:pPr>
      <w:r w:rsidDel="00000000" w:rsidR="00000000" w:rsidRPr="00000000">
        <w:rPr>
          <w:rtl w:val="0"/>
        </w:rPr>
      </w:r>
    </w:p>
    <w:p w:rsidR="00000000" w:rsidDel="00000000" w:rsidP="00000000" w:rsidRDefault="00000000" w:rsidRPr="00000000" w14:paraId="00000028">
      <w:pPr>
        <w:pStyle w:val="Heading1"/>
        <w:pBdr>
          <w:bottom w:color="2e8b57" w:space="6" w:sz="8" w:val="single"/>
        </w:pBdr>
        <w:spacing w:after="200" w:before="0" w:lineRule="auto"/>
        <w:jc w:val="both"/>
        <w:rPr>
          <w:color w:val="000000"/>
        </w:rPr>
      </w:pPr>
      <w:r w:rsidDel="00000000" w:rsidR="00000000" w:rsidRPr="00000000">
        <w:rPr>
          <w:b w:val="1"/>
          <w:bCs w:val="1"/>
          <w:color w:val="000000"/>
          <w:sz w:val="32"/>
          <w:szCs w:val="32"/>
          <w:rtl w:val="0"/>
        </w:rPr>
        <w:t xml:space="preserve">Investment Trends &amp; Incentives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Private Capex Committed: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Investments exceeding $5 billion (₹40,000 Cr) have been made by Reliance, Tata Agratas, Amara Raja, Ola Electric, and Exide.</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PLI (Public Linked Incentives) Scheme for ACC Battery Manufacturing: ₹18,100 Cr allocated to support 50 GWh of capacity. But, remaining to disburse funds.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State Incentives: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Gujarat, Maharashtra, and Tamil Nadu offering land, infra, and power subsidies for GigaFactories.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SECI &amp; NTPC BESS Tenders: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Teaming up on renewable projects to get those grid-scale batteries rolling.</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TATA Power Solar System Limited (TPSSL), under Tata Power, has the largest solar + BESS project in India. Situated in Rajnandgaon in Chhattisgarh</w:t>
      </w:r>
      <w:r w:rsidDel="00000000" w:rsidR="00000000" w:rsidRPr="00000000">
        <w:rPr>
          <w:rtl w:val="0"/>
        </w:rPr>
      </w:r>
    </w:p>
    <w:p w:rsidR="00000000" w:rsidDel="00000000" w:rsidP="00000000" w:rsidRDefault="00000000" w:rsidRPr="00000000" w14:paraId="0000002E">
      <w:pPr>
        <w:pStyle w:val="Heading2"/>
        <w:spacing w:after="120" w:before="240" w:lineRule="auto"/>
        <w:jc w:val="both"/>
        <w:rPr>
          <w:color w:val="000000"/>
        </w:rPr>
      </w:pPr>
      <w:r w:rsidDel="00000000" w:rsidR="00000000" w:rsidRPr="00000000">
        <w:rPr>
          <w:b w:val="1"/>
          <w:bCs w:val="1"/>
          <w:color w:val="000000"/>
          <w:sz w:val="26"/>
          <w:szCs w:val="26"/>
          <w:rtl w:val="0"/>
        </w:rPr>
        <w:t xml:space="preserve">Risks &amp; Challenges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High Import Dependence: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A substantial majority of essential materials are exported from China, Australia (Li), Congo (Co), or South Korea.</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Technology Obsolescence: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LFP, NMC may be displaced by Na-ion or solid-state within 5</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7 years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Policy Execution Delays: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PLI disbursement and grid regulation lags could delay commercialization.</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Low IRRs: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Battery projects have infra</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like payback profiles with venture-scale risks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Recycling Gaps: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Battery waste is expected to surge by 2028</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30, but the current ecosystem is underdeveloped. However, battery waste is projected to rise considerably between 2028 and 2030.</w:t>
      </w:r>
      <w:r w:rsidDel="00000000" w:rsidR="00000000" w:rsidRPr="00000000">
        <w:rPr>
          <w:rtl w:val="0"/>
        </w:rPr>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spacing w:after="40" w:before="200" w:lineRule="auto"/>
        <w:rPr/>
      </w:pPr>
      <w:r w:rsidDel="00000000" w:rsidR="00000000" w:rsidRPr="00000000">
        <w:rPr>
          <w:rtl w:val="0"/>
        </w:rPr>
      </w:r>
    </w:p>
    <w:p w:rsidR="00000000" w:rsidDel="00000000" w:rsidP="00000000" w:rsidRDefault="00000000" w:rsidRPr="00000000" w14:paraId="00000036">
      <w:pPr>
        <w:pStyle w:val="Heading1"/>
        <w:pBdr>
          <w:bottom w:color="2e8b57" w:space="6" w:sz="8" w:val="single"/>
        </w:pBdr>
        <w:spacing w:after="200" w:before="0" w:lineRule="auto"/>
        <w:rPr>
          <w:color w:val="000000"/>
        </w:rPr>
      </w:pPr>
      <w:r w:rsidDel="00000000" w:rsidR="00000000" w:rsidRPr="00000000">
        <w:rPr>
          <w:b w:val="1"/>
          <w:bCs w:val="1"/>
          <w:color w:val="000000"/>
          <w:sz w:val="32"/>
          <w:szCs w:val="32"/>
          <w:rtl w:val="0"/>
        </w:rPr>
        <w:t xml:space="preserve">Market Overview</w:t>
      </w:r>
      <w:r w:rsidDel="00000000" w:rsidR="00000000" w:rsidRPr="00000000">
        <w:rPr>
          <w:rtl w:val="0"/>
        </w:rPr>
      </w:r>
    </w:p>
    <w:p w:rsidR="00000000" w:rsidDel="00000000" w:rsidP="00000000" w:rsidRDefault="00000000" w:rsidRPr="00000000" w14:paraId="00000037">
      <w:pPr>
        <w:pStyle w:val="Heading2"/>
        <w:spacing w:after="120" w:before="240" w:lineRule="auto"/>
        <w:rPr>
          <w:color w:val="000000"/>
        </w:rPr>
      </w:pPr>
      <w:r w:rsidDel="00000000" w:rsidR="00000000" w:rsidRPr="00000000">
        <w:rPr>
          <w:b w:val="1"/>
          <w:bCs w:val="1"/>
          <w:color w:val="000000"/>
          <w:sz w:val="26"/>
          <w:szCs w:val="26"/>
          <w:rtl w:val="0"/>
        </w:rPr>
        <w:t xml:space="preserve">Indian Market Overview</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National targets: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India's energy storage market is set for considerable expansion. This growth is propelled by national objectives: reaching 500 GW of non</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fossil energy capacity by 2030 and integrating variable renewable energy sources into the grid. Although India's BESS capacity was modest at around 110 MW in late 2024, significant future growth is indicated by upcoming projects and tenders.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CEA projections: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India is projected to need 411.4 GWh of energy storage by 2032, according to the Central Electricity Authority (CEA). Battery storage capacity is expected to grow significantly, from 34.7 GWh by FY2026-27 to 236.2 GWh by FY2031-32, a nearly 47.5% annual growth rate for BESS.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Flagship projects: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Key projects such as Tata Power's 100 MW / 120 MWh BESS with solar, and JSW's 500 MW/1,000 MWh standalone BESS have emerged from SECI and NTPC tenders. These are catalyzed by the National Energy Storage Scheme (NESS) and the Viability Gap Funding (VGF) scheme, which provides financial support (₹3,760 crore) for 4 GWh of initial BESS projects.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ACC PLI Scheme: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India's Advanced Chemistry Cell PLI Scheme, allocated ₹18,100 crore, seeks to establish 50 GWh of indigenous advanced chemistry cell manufacturing capacity. This central policy is further augmented by state</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level incentives offered by Gujarat, Maharashtra, and Tamil Nadu.</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Falling economics: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the cost of co-located BESS with solar or wind has fallen to ₹6</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7/kWh, lower than gas peaking plants. The sharp decline in BESS project tariffs from ₹10 lakh/MW-month to ₹2.5 lakh reflects growing market competitiveness and improving financial viability.</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C&amp;I adoption: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India's energy storage sector is experiencing significant growth, not only through grid</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centric solutions but also via increased adoption among commercial and industrial clients. Telecom companies, data centers, and EV charging stations are increasingly deploying C&amp;I storage and Battery</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as</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a</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Service (BaaS) models. This is further supported by the Energy Storage Obligation, requiring DISCOMs to raise their storage commitment from 1% in FY2023</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24 to 4% by FY2029</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30.</w:t>
      </w:r>
      <w:r w:rsidDel="00000000" w:rsidR="00000000" w:rsidRPr="00000000">
        <w:rPr>
          <w:rtl w:val="0"/>
        </w:rPr>
      </w:r>
    </w:p>
    <w:p w:rsidR="00000000" w:rsidDel="00000000" w:rsidP="00000000" w:rsidRDefault="00000000" w:rsidRPr="00000000" w14:paraId="0000003E">
      <w:pPr>
        <w:spacing w:after="200" w:before="100" w:lineRule="auto"/>
        <w:jc w:val="both"/>
        <w:rPr/>
      </w:pPr>
      <w:r w:rsidDel="00000000" w:rsidR="00000000" w:rsidRPr="00000000">
        <w:rPr>
          <w:i w:val="1"/>
          <w:iCs w:val="1"/>
          <w:sz w:val="17"/>
          <w:szCs w:val="17"/>
          <w:rtl w:val="0"/>
        </w:rPr>
        <w:t xml:space="preserve">Source: CEA, Ministry of Power, SECI/NTPC tender documentation</w:t>
      </w:r>
      <w:r w:rsidDel="00000000" w:rsidR="00000000" w:rsidRPr="00000000">
        <w:rPr>
          <w:rtl w:val="0"/>
        </w:rPr>
      </w:r>
    </w:p>
    <w:p w:rsidR="00000000" w:rsidDel="00000000" w:rsidP="00000000" w:rsidRDefault="00000000" w:rsidRPr="00000000" w14:paraId="0000003F">
      <w:pPr>
        <w:pStyle w:val="Heading2"/>
        <w:spacing w:after="120" w:before="240" w:lineRule="auto"/>
        <w:jc w:val="both"/>
        <w:rPr>
          <w:color w:val="000000"/>
        </w:rPr>
      </w:pPr>
      <w:r w:rsidDel="00000000" w:rsidR="00000000" w:rsidRPr="00000000">
        <w:rPr>
          <w:b w:val="1"/>
          <w:bCs w:val="1"/>
          <w:color w:val="000000"/>
          <w:sz w:val="26"/>
          <w:szCs w:val="26"/>
          <w:rtl w:val="0"/>
        </w:rPr>
        <w:t xml:space="preserve">Global Market Overview</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The global battery energy storage market is rapidly expanding, driven by the need for renewable energy integration and grid modernization. Global BESS capacity, which was 170 GWh in 2024, is projected to reach 1.5+ TWh by 2030, indicating a CAGR of 43%, according to BloombergNEF, IEA, and Wood Mackenzie.</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Global battery storage additions surpassed 170 GWh in 2024. Asia-Pacific led these deployments, contributing almost 50% of the total. China (47 GWh) and the United States (22 GWh) were the top two countries, followed by Europe (~21 GWh). Both North America and Europe are experiencing rapid growth, particularly in residential and behind-the-meter sectors.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Falling costs: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the cost of storing energy has dropped from $100 per unit in 2024 and is expected to go even lower than $90 per unit in 2025, driven by better LFP production and more efficient manufacturing in China. Because of these lower costs, large battery systems (1 MW or bigger) are now the most common type globally, making up about 85% of all installations.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Policy drivers: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Global policies are significantly driving BESS adoption by offering incentives, promoting renewable integration, and modernizing grids. Auxiliary services are also a major revenue driver for BESS, capitalizing on its quick response for grid reliability. Major global policies include the US Inflation Reduction Act, the EU Green Deal, and China's national mandates.</w:t>
      </w:r>
      <w:r w:rsidDel="00000000" w:rsidR="00000000" w:rsidRPr="00000000">
        <w:rPr>
          <w:rtl w:val="0"/>
        </w:rPr>
      </w:r>
    </w:p>
    <w:p w:rsidR="00000000" w:rsidDel="00000000" w:rsidP="00000000" w:rsidRDefault="00000000" w:rsidRPr="00000000" w14:paraId="00000044">
      <w:pPr>
        <w:spacing w:after="200" w:before="100" w:lineRule="auto"/>
        <w:jc w:val="both"/>
        <w:rPr/>
      </w:pPr>
      <w:r w:rsidDel="00000000" w:rsidR="00000000" w:rsidRPr="00000000">
        <w:rPr>
          <w:i w:val="1"/>
          <w:iCs w:val="1"/>
          <w:sz w:val="17"/>
          <w:szCs w:val="17"/>
          <w:rtl w:val="0"/>
        </w:rPr>
        <w:t xml:space="preserve">Source: BloombergNEF, IEA, Wood Mackenzie</w:t>
      </w:r>
      <w:r w:rsidDel="00000000" w:rsidR="00000000" w:rsidRPr="00000000">
        <w:rPr>
          <w:rtl w:val="0"/>
        </w:rPr>
      </w:r>
    </w:p>
    <w:p w:rsidR="00000000" w:rsidDel="00000000" w:rsidP="00000000" w:rsidRDefault="00000000" w:rsidRPr="00000000" w14:paraId="00000045">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pBdr>
          <w:bottom w:color="2e8b57" w:space="6" w:sz="8" w:val="single"/>
        </w:pBdr>
        <w:spacing w:after="200" w:before="0" w:lineRule="auto"/>
        <w:rPr>
          <w:color w:val="000000"/>
        </w:rPr>
      </w:pPr>
      <w:r w:rsidDel="00000000" w:rsidR="00000000" w:rsidRPr="00000000">
        <w:rPr>
          <w:b w:val="1"/>
          <w:bCs w:val="1"/>
          <w:color w:val="000000"/>
          <w:sz w:val="32"/>
          <w:szCs w:val="32"/>
          <w:rtl w:val="0"/>
        </w:rPr>
        <w:t xml:space="preserve">Policy &amp; Regulatory Landscape</w:t>
      </w:r>
      <w:r w:rsidDel="00000000" w:rsidR="00000000" w:rsidRPr="00000000">
        <w:rPr>
          <w:rtl w:val="0"/>
        </w:rPr>
      </w:r>
    </w:p>
    <w:p w:rsidR="00000000" w:rsidDel="00000000" w:rsidP="00000000" w:rsidRDefault="00000000" w:rsidRPr="00000000" w14:paraId="00000047">
      <w:pPr>
        <w:pStyle w:val="Heading2"/>
        <w:spacing w:after="120" w:before="240" w:lineRule="auto"/>
        <w:jc w:val="both"/>
        <w:rPr>
          <w:color w:val="000000"/>
        </w:rPr>
      </w:pPr>
      <w:r w:rsidDel="00000000" w:rsidR="00000000" w:rsidRPr="00000000">
        <w:rPr>
          <w:b w:val="1"/>
          <w:bCs w:val="1"/>
          <w:color w:val="000000"/>
          <w:sz w:val="26"/>
          <w:szCs w:val="26"/>
          <w:rtl w:val="0"/>
        </w:rPr>
        <w:t xml:space="preserve">National Initiatives for BESS in India</w:t>
      </w:r>
      <w:r w:rsidDel="00000000" w:rsidR="00000000" w:rsidRPr="00000000">
        <w:rPr>
          <w:rtl w:val="0"/>
        </w:rPr>
      </w:r>
    </w:p>
    <w:p w:rsidR="00000000" w:rsidDel="00000000" w:rsidP="00000000" w:rsidRDefault="00000000" w:rsidRPr="00000000" w14:paraId="00000048">
      <w:pPr>
        <w:spacing w:after="120" w:lineRule="auto"/>
        <w:jc w:val="both"/>
        <w:rPr/>
      </w:pPr>
      <w:r w:rsidDel="00000000" w:rsidR="00000000" w:rsidRPr="00000000">
        <w:rPr>
          <w:i w:val="0"/>
          <w:iCs w:val="0"/>
          <w:sz w:val="21"/>
          <w:szCs w:val="21"/>
          <w:rtl w:val="0"/>
        </w:rPr>
        <w:t xml:space="preserve">India has established comprehensive policies to accelerate energy storage deployment, positioning it as critical infrastructure for grid stability and clean energy transition.</w:t>
      </w:r>
      <w:r w:rsidDel="00000000" w:rsidR="00000000" w:rsidRPr="00000000">
        <w:rPr>
          <w:rtl w:val="0"/>
        </w:rPr>
      </w:r>
    </w:p>
    <w:p w:rsidR="00000000" w:rsidDel="00000000" w:rsidP="00000000" w:rsidRDefault="00000000" w:rsidRPr="00000000" w14:paraId="00000049">
      <w:pPr>
        <w:pStyle w:val="Heading3"/>
        <w:spacing w:after="80" w:before="160" w:lineRule="auto"/>
        <w:jc w:val="both"/>
        <w:rPr>
          <w:color w:val="000000"/>
        </w:rPr>
      </w:pPr>
      <w:r w:rsidDel="00000000" w:rsidR="00000000" w:rsidRPr="00000000">
        <w:rPr>
          <w:b w:val="1"/>
          <w:bCs w:val="1"/>
          <w:color w:val="000000"/>
          <w:sz w:val="22"/>
          <w:szCs w:val="22"/>
          <w:rtl w:val="0"/>
        </w:rPr>
        <w:t xml:space="preserve">1. Production Linked Incentive (PLI) Scheme for Advanced Chemistry Cells (ACCs)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Overview: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Launched in July 2021 by the Ministry of Heavy Industries, this flagship scheme targets establishing 50 GWh domestic battery cell manufacturing capacity over six years.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Financial structure: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Total outlay ₹18,100 crore, disbursed in five annual tranches (2022</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2027) based on incremental production value; performance</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based incentives linked to actual cell output to encourage local production over imports.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Key features: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Technology</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agnostic approach covering all chemistries (Li</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ion, LFP, NMC, etc.); tiered incentive structure favouring facilities ≥5 GWh; 14 selected bidders including Reliance, Amara Raja, and Ola awarded manufacturing capacity; first tranche disbursement pending facility commissioning.</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Strategic impact: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Reduces import dependency while enhancing domestic value addition in the battery manufacturing ecosystem.</w:t>
      </w:r>
      <w:r w:rsidDel="00000000" w:rsidR="00000000" w:rsidRPr="00000000">
        <w:rPr>
          <w:rtl w:val="0"/>
        </w:rPr>
      </w:r>
    </w:p>
    <w:p w:rsidR="00000000" w:rsidDel="00000000" w:rsidP="00000000" w:rsidRDefault="00000000" w:rsidRPr="00000000" w14:paraId="0000004E">
      <w:pPr>
        <w:spacing w:after="200" w:before="100" w:lineRule="auto"/>
        <w:jc w:val="both"/>
        <w:rPr/>
      </w:pPr>
      <w:r w:rsidDel="00000000" w:rsidR="00000000" w:rsidRPr="00000000">
        <w:rPr>
          <w:i w:val="1"/>
          <w:iCs w:val="1"/>
          <w:sz w:val="17"/>
          <w:szCs w:val="17"/>
          <w:rtl w:val="0"/>
        </w:rPr>
        <w:t xml:space="preserve">Source: Ministry of New and Renewable Energy</w:t>
      </w:r>
      <w:r w:rsidDel="00000000" w:rsidR="00000000" w:rsidRPr="00000000">
        <w:rPr>
          <w:rtl w:val="0"/>
        </w:rPr>
      </w:r>
    </w:p>
    <w:p w:rsidR="00000000" w:rsidDel="00000000" w:rsidP="00000000" w:rsidRDefault="00000000" w:rsidRPr="00000000" w14:paraId="0000004F">
      <w:pPr>
        <w:pStyle w:val="Heading3"/>
        <w:spacing w:after="80" w:before="160" w:lineRule="auto"/>
        <w:jc w:val="both"/>
        <w:rPr>
          <w:color w:val="000000"/>
        </w:rPr>
      </w:pPr>
      <w:r w:rsidDel="00000000" w:rsidR="00000000" w:rsidRPr="00000000">
        <w:rPr>
          <w:b w:val="1"/>
          <w:bCs w:val="1"/>
          <w:color w:val="000000"/>
          <w:sz w:val="22"/>
          <w:szCs w:val="22"/>
          <w:rtl w:val="0"/>
        </w:rPr>
        <w:t xml:space="preserve">2. FAME-II (Faster Adoption and Manufacturing of Electric Vehicles)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Scope: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Extended through March 2024 with ₹10,000 crore allocation for electric vehicle ecosystem development.</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Components: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EV purchase incentives across vehicle categories; charging and battery swapping infrastructure development; ₹1,000 crore earmarked for swap-station deployment; support for Battery</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as</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a</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Service (BaaS) models for 2W/3W commercial fleets.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Current status: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₹6,200 crore disbursed as of Q1 FY25; remaining funds allocated for highway charging corridor development; indirectly drives BESS demand through EV adoption and charging infrastructure requirements.</w:t>
      </w:r>
      <w:r w:rsidDel="00000000" w:rsidR="00000000" w:rsidRPr="00000000">
        <w:rPr>
          <w:rtl w:val="0"/>
        </w:rPr>
      </w:r>
    </w:p>
    <w:p w:rsidR="00000000" w:rsidDel="00000000" w:rsidP="00000000" w:rsidRDefault="00000000" w:rsidRPr="00000000" w14:paraId="00000053">
      <w:pPr>
        <w:spacing w:after="200" w:before="100" w:lineRule="auto"/>
        <w:jc w:val="both"/>
        <w:rPr/>
      </w:pPr>
      <w:r w:rsidDel="00000000" w:rsidR="00000000" w:rsidRPr="00000000">
        <w:rPr>
          <w:i w:val="1"/>
          <w:iCs w:val="1"/>
          <w:sz w:val="17"/>
          <w:szCs w:val="17"/>
          <w:rtl w:val="0"/>
        </w:rPr>
        <w:t xml:space="preserve">Source: Times of Hindustan</w:t>
      </w:r>
      <w:r w:rsidDel="00000000" w:rsidR="00000000" w:rsidRPr="00000000">
        <w:rPr>
          <w:rtl w:val="0"/>
        </w:rPr>
      </w:r>
    </w:p>
    <w:p w:rsidR="00000000" w:rsidDel="00000000" w:rsidP="00000000" w:rsidRDefault="00000000" w:rsidRPr="00000000" w14:paraId="00000054">
      <w:pPr>
        <w:pStyle w:val="Heading3"/>
        <w:spacing w:after="80" w:before="160" w:lineRule="auto"/>
        <w:jc w:val="both"/>
        <w:rPr>
          <w:color w:val="000000"/>
        </w:rPr>
      </w:pPr>
      <w:r w:rsidDel="00000000" w:rsidR="00000000" w:rsidRPr="00000000">
        <w:rPr>
          <w:b w:val="1"/>
          <w:bCs w:val="1"/>
          <w:color w:val="000000"/>
          <w:sz w:val="22"/>
          <w:szCs w:val="22"/>
          <w:rtl w:val="0"/>
        </w:rPr>
        <w:t xml:space="preserve">3. Draft National Electricity Policy (NEP) 2021</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Strategic recognition: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Explicitly recognizes energy storage as core grid infrastructure, equivalent to generation and transmission assets.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Policy framework: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Mandates treatment of energy storage as "generation, demand, and demand</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side management"; calls for regulatory frameworks enabling standalone BESS grid connection and market participation; proposed amendments to CERC's Grid Code for BESS participation in auxiliary services markets; supports both standalone and hybrid storage project configurations.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Implementation status: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Final policy approval pending following public consultation completed in April 2022.</w:t>
      </w:r>
      <w:r w:rsidDel="00000000" w:rsidR="00000000" w:rsidRPr="00000000">
        <w:rPr>
          <w:rtl w:val="0"/>
        </w:rPr>
      </w:r>
    </w:p>
    <w:p w:rsidR="00000000" w:rsidDel="00000000" w:rsidP="00000000" w:rsidRDefault="00000000" w:rsidRPr="00000000" w14:paraId="00000058">
      <w:pPr>
        <w:spacing w:after="200" w:before="100" w:lineRule="auto"/>
        <w:jc w:val="both"/>
        <w:rPr/>
      </w:pPr>
      <w:r w:rsidDel="00000000" w:rsidR="00000000" w:rsidRPr="00000000">
        <w:rPr>
          <w:i w:val="1"/>
          <w:iCs w:val="1"/>
          <w:sz w:val="17"/>
          <w:szCs w:val="17"/>
          <w:rtl w:val="0"/>
        </w:rPr>
        <w:t xml:space="preserve">Source: Ministry of Power</w:t>
      </w:r>
      <w:r w:rsidDel="00000000" w:rsidR="00000000" w:rsidRPr="00000000">
        <w:rPr>
          <w:rtl w:val="0"/>
        </w:rPr>
      </w:r>
    </w:p>
    <w:p w:rsidR="00000000" w:rsidDel="00000000" w:rsidP="00000000" w:rsidRDefault="00000000" w:rsidRPr="00000000" w14:paraId="00000059">
      <w:pPr>
        <w:pStyle w:val="Heading3"/>
        <w:spacing w:after="80" w:before="160" w:lineRule="auto"/>
        <w:jc w:val="both"/>
        <w:rPr>
          <w:color w:val="000000"/>
        </w:rPr>
      </w:pPr>
      <w:r w:rsidDel="00000000" w:rsidR="00000000" w:rsidRPr="00000000">
        <w:rPr>
          <w:b w:val="1"/>
          <w:bCs w:val="1"/>
          <w:color w:val="000000"/>
          <w:sz w:val="22"/>
          <w:szCs w:val="22"/>
          <w:rtl w:val="0"/>
        </w:rPr>
        <w:t xml:space="preserve">4. Large Scale BESS Tender Framework</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SECI initiatives: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SECI has tendered large-scale solar projects with integrated BESS, like the 2 GW solar project paired with 4 GWh BESS. March 2024's renewable energy tariff with battery storage introduced a two</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part structure: ₹3.12/kWh for solar and ₹2.35 lakh/MW</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month for battery.</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NTPC programs: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1 GW/4 GWh solar+BESS projects at Leh under WINDS III tender; Viability Gap Funding (VGF) supports up to 50% for high</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altitude deployments; project cost support mechanisms ensuring commercial viability.</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Market development: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These tenders establish price discovery mechanisms and commercial frameworks for utility</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scale storage deployment.</w:t>
      </w:r>
      <w:r w:rsidDel="00000000" w:rsidR="00000000" w:rsidRPr="00000000">
        <w:rPr>
          <w:rtl w:val="0"/>
        </w:rPr>
      </w:r>
    </w:p>
    <w:p w:rsidR="00000000" w:rsidDel="00000000" w:rsidP="00000000" w:rsidRDefault="00000000" w:rsidRPr="00000000" w14:paraId="0000005D">
      <w:pPr>
        <w:spacing w:after="200" w:before="100" w:lineRule="auto"/>
        <w:rPr/>
      </w:pPr>
      <w:r w:rsidDel="00000000" w:rsidR="00000000" w:rsidRPr="00000000">
        <w:rPr>
          <w:i w:val="1"/>
          <w:iCs w:val="1"/>
          <w:sz w:val="17"/>
          <w:szCs w:val="17"/>
          <w:rtl w:val="0"/>
        </w:rPr>
        <w:t xml:space="preserve">Source: SECI Notification No. SECI/HO/Contracts/019, dated 10 January 2024</w:t>
      </w:r>
      <w:r w:rsidDel="00000000" w:rsidR="00000000" w:rsidRPr="00000000">
        <w:rPr>
          <w:rtl w:val="0"/>
        </w:rPr>
      </w:r>
    </w:p>
    <w:p w:rsidR="00000000" w:rsidDel="00000000" w:rsidP="00000000" w:rsidRDefault="00000000" w:rsidRPr="00000000" w14:paraId="0000005E">
      <w:pPr>
        <w:pStyle w:val="Heading2"/>
        <w:spacing w:after="120" w:before="240" w:lineRule="auto"/>
        <w:jc w:val="both"/>
        <w:rPr>
          <w:color w:val="000000"/>
        </w:rPr>
      </w:pPr>
      <w:r w:rsidDel="00000000" w:rsidR="00000000" w:rsidRPr="00000000">
        <w:rPr>
          <w:b w:val="1"/>
          <w:bCs w:val="1"/>
          <w:color w:val="000000"/>
          <w:sz w:val="26"/>
          <w:szCs w:val="26"/>
          <w:rtl w:val="0"/>
        </w:rPr>
        <w:t xml:space="preserve">State</w:t>
      </w:r>
      <w:r w:rsidDel="00000000" w:rsidR="00000000" w:rsidRPr="00000000">
        <w:rPr>
          <w:b w:val="1"/>
          <w:bCs w:val="1"/>
          <w:color w:val="000000"/>
          <w:rtl w:val="0"/>
        </w:rPr>
        <w:t xml:space="preserve"> </w:t>
      </w:r>
      <w:r w:rsidDel="00000000" w:rsidR="00000000" w:rsidRPr="00000000">
        <w:rPr>
          <w:b w:val="1"/>
          <w:bCs w:val="1"/>
          <w:color w:val="000000"/>
          <w:sz w:val="26"/>
          <w:szCs w:val="26"/>
          <w:rtl w:val="0"/>
        </w:rPr>
        <w:t xml:space="preserve">Level BESS Incentives</w:t>
      </w:r>
      <w:r w:rsidDel="00000000" w:rsidR="00000000" w:rsidRPr="00000000">
        <w:rPr>
          <w:rtl w:val="0"/>
        </w:rPr>
      </w:r>
    </w:p>
    <w:p w:rsidR="00000000" w:rsidDel="00000000" w:rsidP="00000000" w:rsidRDefault="00000000" w:rsidRPr="00000000" w14:paraId="0000005F">
      <w:pPr>
        <w:spacing w:after="120" w:lineRule="auto"/>
        <w:jc w:val="both"/>
        <w:rPr/>
      </w:pPr>
      <w:r w:rsidDel="00000000" w:rsidR="00000000" w:rsidRPr="00000000">
        <w:rPr>
          <w:i w:val="0"/>
          <w:iCs w:val="0"/>
          <w:sz w:val="21"/>
          <w:szCs w:val="21"/>
          <w:rtl w:val="0"/>
        </w:rPr>
        <w:t xml:space="preserve">Several Indian states have implemented comprehensive incentive schemes to promote BESS manufacturing and deployment, aiming to establish India as a global hub for energy storage technologies while supporting the transition to renewable energy.</w:t>
      </w:r>
      <w:r w:rsidDel="00000000" w:rsidR="00000000" w:rsidRPr="00000000">
        <w:rPr>
          <w:rtl w:val="0"/>
        </w:rPr>
      </w:r>
    </w:p>
    <w:p w:rsidR="00000000" w:rsidDel="00000000" w:rsidP="00000000" w:rsidRDefault="00000000" w:rsidRPr="00000000" w14:paraId="00000060">
      <w:pPr>
        <w:pStyle w:val="Heading3"/>
        <w:spacing w:after="80" w:before="160" w:lineRule="auto"/>
        <w:jc w:val="both"/>
        <w:rPr>
          <w:color w:val="000000"/>
        </w:rPr>
      </w:pPr>
      <w:r w:rsidDel="00000000" w:rsidR="00000000" w:rsidRPr="00000000">
        <w:rPr>
          <w:b w:val="1"/>
          <w:bCs w:val="1"/>
          <w:color w:val="000000"/>
          <w:sz w:val="22"/>
          <w:szCs w:val="22"/>
          <w:rtl w:val="0"/>
        </w:rPr>
        <w:t xml:space="preserve">Gujarat - Infrastructure Development and Manufacturing Hub</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Dholera Battery Park: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Development of a 2 GWh capacity plug</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and</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play infrastructure facility with pre</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established roads, power supply, and utilities.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Land subsidies: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50% reduction in land acquisition costs for eligible projects.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Administrative efficiency: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Single</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window clearance portal for streamlined approvals and reduced bureaucratic delays.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Policy framework: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Comprehensive support under the Gujarat Electronics Policy.</w:t>
      </w:r>
      <w:r w:rsidDel="00000000" w:rsidR="00000000" w:rsidRPr="00000000">
        <w:rPr>
          <w:rtl w:val="0"/>
        </w:rPr>
      </w:r>
    </w:p>
    <w:p w:rsidR="00000000" w:rsidDel="00000000" w:rsidP="00000000" w:rsidRDefault="00000000" w:rsidRPr="00000000" w14:paraId="00000065">
      <w:pPr>
        <w:spacing w:after="200" w:before="100" w:lineRule="auto"/>
        <w:jc w:val="both"/>
        <w:rPr/>
      </w:pPr>
      <w:r w:rsidDel="00000000" w:rsidR="00000000" w:rsidRPr="00000000">
        <w:rPr>
          <w:i w:val="1"/>
          <w:iCs w:val="1"/>
          <w:sz w:val="17"/>
          <w:szCs w:val="17"/>
          <w:rtl w:val="0"/>
        </w:rPr>
        <w:t xml:space="preserve">Source: Gujarat Department of Science &amp; Technology Battery Policy</w:t>
      </w:r>
      <w:r w:rsidDel="00000000" w:rsidR="00000000" w:rsidRPr="00000000">
        <w:rPr>
          <w:rtl w:val="0"/>
        </w:rPr>
      </w:r>
    </w:p>
    <w:p w:rsidR="00000000" w:rsidDel="00000000" w:rsidP="00000000" w:rsidRDefault="00000000" w:rsidRPr="00000000" w14:paraId="00000066">
      <w:pPr>
        <w:pStyle w:val="Heading3"/>
        <w:spacing w:after="80" w:before="160" w:lineRule="auto"/>
        <w:jc w:val="both"/>
        <w:rPr>
          <w:color w:val="000000"/>
        </w:rPr>
      </w:pPr>
      <w:r w:rsidDel="00000000" w:rsidR="00000000" w:rsidRPr="00000000">
        <w:rPr>
          <w:b w:val="1"/>
          <w:bCs w:val="1"/>
          <w:color w:val="000000"/>
          <w:sz w:val="22"/>
          <w:szCs w:val="22"/>
          <w:rtl w:val="0"/>
        </w:rPr>
        <w:t xml:space="preserve">Maharashtra - Manufacturing Excellence and Financial Support</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Capital subsidies: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Up to 20% capital subsidy for battery cell and component manufacturers.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Financial support: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5-year interest subvention of 5% on manufacturing loans.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Infrastructure development: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Dedicated EV-BESS corridors; planned manufacturing hubs around Pune, Nagpur, and Aurangabad.</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Grid connectivity: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Fast</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track grid connection approvals for priority projects.</w:t>
      </w:r>
      <w:r w:rsidDel="00000000" w:rsidR="00000000" w:rsidRPr="00000000">
        <w:rPr>
          <w:rtl w:val="0"/>
        </w:rPr>
      </w:r>
    </w:p>
    <w:p w:rsidR="00000000" w:rsidDel="00000000" w:rsidP="00000000" w:rsidRDefault="00000000" w:rsidRPr="00000000" w14:paraId="0000006B">
      <w:pPr>
        <w:spacing w:after="200" w:before="100" w:lineRule="auto"/>
        <w:jc w:val="both"/>
        <w:rPr/>
      </w:pPr>
      <w:r w:rsidDel="00000000" w:rsidR="00000000" w:rsidRPr="00000000">
        <w:rPr>
          <w:i w:val="1"/>
          <w:iCs w:val="1"/>
          <w:sz w:val="17"/>
          <w:szCs w:val="17"/>
          <w:rtl w:val="0"/>
        </w:rPr>
        <w:t xml:space="preserve">Source: Maharashtra EV Policy</w:t>
      </w:r>
      <w:r w:rsidDel="00000000" w:rsidR="00000000" w:rsidRPr="00000000">
        <w:rPr>
          <w:rtl w:val="0"/>
        </w:rPr>
      </w:r>
    </w:p>
    <w:p w:rsidR="00000000" w:rsidDel="00000000" w:rsidP="00000000" w:rsidRDefault="00000000" w:rsidRPr="00000000" w14:paraId="0000006C">
      <w:pPr>
        <w:pStyle w:val="Heading3"/>
        <w:spacing w:after="80" w:before="160" w:lineRule="auto"/>
        <w:jc w:val="both"/>
        <w:rPr>
          <w:color w:val="000000"/>
        </w:rPr>
      </w:pPr>
      <w:r w:rsidDel="00000000" w:rsidR="00000000" w:rsidRPr="00000000">
        <w:rPr>
          <w:b w:val="1"/>
          <w:bCs w:val="1"/>
          <w:color w:val="000000"/>
          <w:sz w:val="22"/>
          <w:szCs w:val="22"/>
          <w:rtl w:val="0"/>
        </w:rPr>
        <w:t xml:space="preserve">Tamil Nadu - Comprehensive Ecosystem Development</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Manufacturing zones: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Dedicated battery manufacturing facilities within SIPCOT industrial parks.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Tax benefits: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Complete exemption from stamp duty and SGST for 7 years.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Grid integration: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Priority connectivity for power evacuation and grid integration; dedicated Green Energy Corridor for renewable transmission.</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Policy support: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Comprehensive framework under TN Electric Vehicles Policy 2023.</w:t>
      </w:r>
      <w:r w:rsidDel="00000000" w:rsidR="00000000" w:rsidRPr="00000000">
        <w:rPr>
          <w:rtl w:val="0"/>
        </w:rPr>
      </w:r>
    </w:p>
    <w:p w:rsidR="00000000" w:rsidDel="00000000" w:rsidP="00000000" w:rsidRDefault="00000000" w:rsidRPr="00000000" w14:paraId="00000071">
      <w:pPr>
        <w:spacing w:after="200" w:before="100" w:lineRule="auto"/>
        <w:jc w:val="both"/>
        <w:rPr/>
      </w:pPr>
      <w:r w:rsidDel="00000000" w:rsidR="00000000" w:rsidRPr="00000000">
        <w:rPr>
          <w:i w:val="1"/>
          <w:iCs w:val="1"/>
          <w:sz w:val="17"/>
          <w:szCs w:val="17"/>
          <w:rtl w:val="0"/>
        </w:rPr>
        <w:t xml:space="preserve">Source: Tamil Nadu EV Policy 2023</w:t>
      </w:r>
      <w:r w:rsidDel="00000000" w:rsidR="00000000" w:rsidRPr="00000000">
        <w:rPr>
          <w:rtl w:val="0"/>
        </w:rPr>
      </w:r>
    </w:p>
    <w:p w:rsidR="00000000" w:rsidDel="00000000" w:rsidP="00000000" w:rsidRDefault="00000000" w:rsidRPr="00000000" w14:paraId="00000072">
      <w:pPr>
        <w:pStyle w:val="Heading3"/>
        <w:spacing w:after="80" w:before="160" w:lineRule="auto"/>
        <w:jc w:val="both"/>
        <w:rPr>
          <w:color w:val="000000"/>
        </w:rPr>
      </w:pPr>
      <w:r w:rsidDel="00000000" w:rsidR="00000000" w:rsidRPr="00000000">
        <w:rPr>
          <w:b w:val="1"/>
          <w:bCs w:val="1"/>
          <w:color w:val="000000"/>
          <w:sz w:val="22"/>
          <w:szCs w:val="22"/>
          <w:rtl w:val="0"/>
        </w:rPr>
        <w:t xml:space="preserve">Karnataka - Operational Cost Reduction and Project Acceleration</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Power tariff benefits: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₹0.50 per kWh rebate on electricity tariffs for the first 5 years of operation.</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Capital expenditure support: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30% capex subsidy with a maximum limit of ₹5 crore per project.</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Land acquisition: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Accelerated land allotment process for battery storage projects.</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Regulatory support: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Streamlined approval mechanisms under the Karnataka Battery Policy 2022.</w:t>
      </w:r>
      <w:r w:rsidDel="00000000" w:rsidR="00000000" w:rsidRPr="00000000">
        <w:rPr>
          <w:rtl w:val="0"/>
        </w:rPr>
      </w:r>
    </w:p>
    <w:p w:rsidR="00000000" w:rsidDel="00000000" w:rsidP="00000000" w:rsidRDefault="00000000" w:rsidRPr="00000000" w14:paraId="00000077">
      <w:pPr>
        <w:spacing w:after="200" w:before="100" w:lineRule="auto"/>
        <w:jc w:val="both"/>
        <w:rPr/>
      </w:pPr>
      <w:r w:rsidDel="00000000" w:rsidR="00000000" w:rsidRPr="00000000">
        <w:rPr>
          <w:i w:val="1"/>
          <w:iCs w:val="1"/>
          <w:sz w:val="17"/>
          <w:szCs w:val="17"/>
          <w:rtl w:val="0"/>
        </w:rPr>
        <w:t xml:space="preserve">Source: Karnataka Industries Department Battery Policy</w:t>
      </w:r>
      <w:r w:rsidDel="00000000" w:rsidR="00000000" w:rsidRPr="00000000">
        <w:rPr>
          <w:rtl w:val="0"/>
        </w:rPr>
      </w:r>
    </w:p>
    <w:p w:rsidR="00000000" w:rsidDel="00000000" w:rsidP="00000000" w:rsidRDefault="00000000" w:rsidRPr="00000000" w14:paraId="00000078">
      <w:pPr>
        <w:spacing w:after="120" w:lineRule="auto"/>
        <w:jc w:val="both"/>
        <w:rPr/>
      </w:pPr>
      <w:r w:rsidDel="00000000" w:rsidR="00000000" w:rsidRPr="00000000">
        <w:rPr>
          <w:i w:val="0"/>
          <w:iCs w:val="0"/>
          <w:sz w:val="21"/>
          <w:szCs w:val="21"/>
          <w:rtl w:val="0"/>
        </w:rPr>
        <w:t xml:space="preserve">Collectively, these state</w:t>
      </w:r>
      <w:r w:rsidDel="00000000" w:rsidR="00000000" w:rsidRPr="00000000">
        <w:rPr>
          <w:rtl w:val="0"/>
        </w:rPr>
        <w:t xml:space="preserve"> </w:t>
      </w:r>
      <w:r w:rsidDel="00000000" w:rsidR="00000000" w:rsidRPr="00000000">
        <w:rPr>
          <w:i w:val="0"/>
          <w:iCs w:val="0"/>
          <w:sz w:val="21"/>
          <w:szCs w:val="21"/>
          <w:rtl w:val="0"/>
        </w:rPr>
        <w:t xml:space="preserve">level incentives aim to reduce project development timelines and costs, encourage private sector investment, create clean</w:t>
      </w:r>
      <w:r w:rsidDel="00000000" w:rsidR="00000000" w:rsidRPr="00000000">
        <w:rPr>
          <w:rtl w:val="0"/>
        </w:rPr>
        <w:t xml:space="preserve"> </w:t>
      </w:r>
      <w:r w:rsidDel="00000000" w:rsidR="00000000" w:rsidRPr="00000000">
        <w:rPr>
          <w:i w:val="0"/>
          <w:iCs w:val="0"/>
          <w:sz w:val="21"/>
          <w:szCs w:val="21"/>
          <w:rtl w:val="0"/>
        </w:rPr>
        <w:t xml:space="preserve">energy employment, and strengthen India's position in the global battery storage market.</w:t>
      </w:r>
      <w:r w:rsidDel="00000000" w:rsidR="00000000" w:rsidRPr="00000000">
        <w:rPr>
          <w:rtl w:val="0"/>
        </w:rPr>
      </w:r>
    </w:p>
    <w:p w:rsidR="00000000" w:rsidDel="00000000" w:rsidP="00000000" w:rsidRDefault="00000000" w:rsidRPr="00000000" w14:paraId="00000079">
      <w:pPr>
        <w:spacing w:after="40" w:before="200" w:lineRule="auto"/>
        <w:jc w:val="both"/>
        <w:rPr/>
      </w:pPr>
      <w:r w:rsidDel="00000000" w:rsidR="00000000" w:rsidRPr="00000000">
        <w:rPr>
          <w:rtl w:val="0"/>
        </w:rPr>
      </w:r>
    </w:p>
    <w:p w:rsidR="00000000" w:rsidDel="00000000" w:rsidP="00000000" w:rsidRDefault="00000000" w:rsidRPr="00000000" w14:paraId="0000007A">
      <w:pPr>
        <w:pStyle w:val="Heading1"/>
        <w:pBdr>
          <w:bottom w:color="2e8b57" w:space="6" w:sz="8" w:val="single"/>
        </w:pBdr>
        <w:spacing w:after="200" w:before="0" w:lineRule="auto"/>
        <w:jc w:val="both"/>
        <w:rPr>
          <w:b w:val="1"/>
          <w:bCs w:val="1"/>
          <w:color w:val="000000"/>
        </w:rPr>
      </w:pPr>
      <w:r w:rsidDel="00000000" w:rsidR="00000000" w:rsidRPr="00000000">
        <w:rPr>
          <w:rtl w:val="0"/>
        </w:rPr>
      </w:r>
    </w:p>
    <w:p w:rsidR="00000000" w:rsidDel="00000000" w:rsidP="00000000" w:rsidRDefault="00000000" w:rsidRPr="00000000" w14:paraId="0000007B">
      <w:pPr>
        <w:pStyle w:val="Heading1"/>
        <w:pBdr>
          <w:bottom w:color="2e8b57" w:space="6" w:sz="8" w:val="single"/>
        </w:pBdr>
        <w:spacing w:after="200" w:before="0" w:lineRule="auto"/>
        <w:jc w:val="both"/>
        <w:rPr>
          <w:color w:val="000000"/>
        </w:rPr>
      </w:pPr>
      <w:r w:rsidDel="00000000" w:rsidR="00000000" w:rsidRPr="00000000">
        <w:rPr>
          <w:b w:val="1"/>
          <w:bCs w:val="1"/>
          <w:color w:val="000000"/>
          <w:sz w:val="32"/>
          <w:szCs w:val="32"/>
          <w:rtl w:val="0"/>
        </w:rPr>
        <w:t xml:space="preserve">Tariff Design &amp; Revenue Models</w:t>
      </w:r>
      <w:r w:rsidDel="00000000" w:rsidR="00000000" w:rsidRPr="00000000">
        <w:rPr>
          <w:rtl w:val="0"/>
        </w:rPr>
      </w:r>
    </w:p>
    <w:p w:rsidR="00000000" w:rsidDel="00000000" w:rsidP="00000000" w:rsidRDefault="00000000" w:rsidRPr="00000000" w14:paraId="0000007C">
      <w:pPr>
        <w:pStyle w:val="Heading2"/>
        <w:spacing w:after="120" w:before="240" w:lineRule="auto"/>
        <w:jc w:val="both"/>
        <w:rPr>
          <w:color w:val="000000"/>
        </w:rPr>
      </w:pPr>
      <w:r w:rsidDel="00000000" w:rsidR="00000000" w:rsidRPr="00000000">
        <w:rPr>
          <w:b w:val="1"/>
          <w:bCs w:val="1"/>
          <w:color w:val="000000"/>
          <w:sz w:val="26"/>
          <w:szCs w:val="26"/>
          <w:rtl w:val="0"/>
        </w:rPr>
        <w:t xml:space="preserve">1. Time</w:t>
      </w:r>
      <w:r w:rsidDel="00000000" w:rsidR="00000000" w:rsidRPr="00000000">
        <w:rPr>
          <w:b w:val="1"/>
          <w:bCs w:val="1"/>
          <w:color w:val="000000"/>
          <w:rtl w:val="0"/>
        </w:rPr>
        <w:t xml:space="preserve"> </w:t>
      </w:r>
      <w:r w:rsidDel="00000000" w:rsidR="00000000" w:rsidRPr="00000000">
        <w:rPr>
          <w:b w:val="1"/>
          <w:bCs w:val="1"/>
          <w:color w:val="000000"/>
          <w:sz w:val="26"/>
          <w:szCs w:val="26"/>
          <w:rtl w:val="0"/>
        </w:rPr>
        <w:t xml:space="preserve">of</w:t>
      </w:r>
      <w:r w:rsidDel="00000000" w:rsidR="00000000" w:rsidRPr="00000000">
        <w:rPr>
          <w:b w:val="1"/>
          <w:bCs w:val="1"/>
          <w:color w:val="000000"/>
          <w:rtl w:val="0"/>
        </w:rPr>
        <w:t xml:space="preserve"> </w:t>
      </w:r>
      <w:r w:rsidDel="00000000" w:rsidR="00000000" w:rsidRPr="00000000">
        <w:rPr>
          <w:b w:val="1"/>
          <w:bCs w:val="1"/>
          <w:color w:val="000000"/>
          <w:sz w:val="26"/>
          <w:szCs w:val="26"/>
          <w:rtl w:val="0"/>
        </w:rPr>
        <w:t xml:space="preserve">Day (ToD) Tariffs</w:t>
      </w:r>
      <w:r w:rsidDel="00000000" w:rsidR="00000000" w:rsidRPr="00000000">
        <w:rPr>
          <w:rtl w:val="0"/>
        </w:rPr>
      </w:r>
    </w:p>
    <w:p w:rsidR="00000000" w:rsidDel="00000000" w:rsidP="00000000" w:rsidRDefault="00000000" w:rsidRPr="00000000" w14:paraId="0000007D">
      <w:pPr>
        <w:spacing w:after="120" w:lineRule="auto"/>
        <w:jc w:val="both"/>
        <w:rPr/>
      </w:pPr>
      <w:r w:rsidDel="00000000" w:rsidR="00000000" w:rsidRPr="00000000">
        <w:rPr>
          <w:i w:val="0"/>
          <w:iCs w:val="0"/>
          <w:sz w:val="21"/>
          <w:szCs w:val="21"/>
          <w:rtl w:val="0"/>
        </w:rPr>
        <w:t xml:space="preserve">Time</w:t>
      </w:r>
      <w:r w:rsidDel="00000000" w:rsidR="00000000" w:rsidRPr="00000000">
        <w:rPr>
          <w:rtl w:val="0"/>
        </w:rPr>
        <w:t xml:space="preserve"> </w:t>
      </w:r>
      <w:r w:rsidDel="00000000" w:rsidR="00000000" w:rsidRPr="00000000">
        <w:rPr>
          <w:i w:val="0"/>
          <w:iCs w:val="0"/>
          <w:sz w:val="21"/>
          <w:szCs w:val="21"/>
          <w:rtl w:val="0"/>
        </w:rPr>
        <w:t xml:space="preserve">of</w:t>
      </w:r>
      <w:r w:rsidDel="00000000" w:rsidR="00000000" w:rsidRPr="00000000">
        <w:rPr>
          <w:rtl w:val="0"/>
        </w:rPr>
        <w:t xml:space="preserve"> </w:t>
      </w:r>
      <w:r w:rsidDel="00000000" w:rsidR="00000000" w:rsidRPr="00000000">
        <w:rPr>
          <w:i w:val="0"/>
          <w:iCs w:val="0"/>
          <w:sz w:val="21"/>
          <w:szCs w:val="21"/>
          <w:rtl w:val="0"/>
        </w:rPr>
        <w:t xml:space="preserve">day tariffs create different electricity prices for different hours of the day. This allows BESS operators to buy electricity at low prices during off-peak hours and sell it at higher prices during peak demand periods.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Regulatory framework: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CERC has implemented a four</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time block pricing structure for ToD tariffs; state commissions like TNERC and MERC have adopted similar frameworks for BESS operations.</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Benefits: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Enables BESS integration with solar projects for better renewable energy utilization; reduces operational costs for C&amp;I consumers through peak shaving; supports grid stability. Commercial benefit: 15</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20% additional revenue margin for BESS operators.</w:t>
      </w:r>
      <w:r w:rsidDel="00000000" w:rsidR="00000000" w:rsidRPr="00000000">
        <w:rPr>
          <w:rtl w:val="0"/>
        </w:rPr>
      </w:r>
    </w:p>
    <w:p w:rsidR="00000000" w:rsidDel="00000000" w:rsidP="00000000" w:rsidRDefault="00000000" w:rsidRPr="00000000" w14:paraId="00000080">
      <w:pPr>
        <w:spacing w:after="200" w:before="100" w:lineRule="auto"/>
        <w:jc w:val="both"/>
        <w:rPr/>
      </w:pPr>
      <w:r w:rsidDel="00000000" w:rsidR="00000000" w:rsidRPr="00000000">
        <w:rPr>
          <w:i w:val="1"/>
          <w:iCs w:val="1"/>
          <w:sz w:val="17"/>
          <w:szCs w:val="17"/>
          <w:rtl w:val="0"/>
        </w:rPr>
        <w:t xml:space="preserve">Source: CERC and SERC Tariff Orders</w:t>
      </w:r>
      <w:r w:rsidDel="00000000" w:rsidR="00000000" w:rsidRPr="00000000">
        <w:rPr>
          <w:rtl w:val="0"/>
        </w:rPr>
      </w:r>
    </w:p>
    <w:p w:rsidR="00000000" w:rsidDel="00000000" w:rsidP="00000000" w:rsidRDefault="00000000" w:rsidRPr="00000000" w14:paraId="00000081">
      <w:pPr>
        <w:pStyle w:val="Heading2"/>
        <w:spacing w:after="120" w:before="240" w:lineRule="auto"/>
        <w:jc w:val="both"/>
        <w:rPr>
          <w:color w:val="000000"/>
        </w:rPr>
      </w:pPr>
      <w:r w:rsidDel="00000000" w:rsidR="00000000" w:rsidRPr="00000000">
        <w:rPr>
          <w:b w:val="1"/>
          <w:bCs w:val="1"/>
          <w:color w:val="000000"/>
          <w:sz w:val="26"/>
          <w:szCs w:val="26"/>
          <w:rtl w:val="0"/>
        </w:rPr>
        <w:t xml:space="preserve">2. Auxiliary Services Market</w:t>
      </w:r>
      <w:r w:rsidDel="00000000" w:rsidR="00000000" w:rsidRPr="00000000">
        <w:rPr>
          <w:rtl w:val="0"/>
        </w:rPr>
      </w:r>
    </w:p>
    <w:p w:rsidR="00000000" w:rsidDel="00000000" w:rsidP="00000000" w:rsidRDefault="00000000" w:rsidRPr="00000000" w14:paraId="00000082">
      <w:pPr>
        <w:spacing w:after="120" w:lineRule="auto"/>
        <w:jc w:val="both"/>
        <w:rPr/>
      </w:pPr>
      <w:r w:rsidDel="00000000" w:rsidR="00000000" w:rsidRPr="00000000">
        <w:rPr>
          <w:i w:val="0"/>
          <w:iCs w:val="0"/>
          <w:sz w:val="21"/>
          <w:szCs w:val="21"/>
          <w:rtl w:val="0"/>
        </w:rPr>
        <w:t xml:space="preserve">BESS systems provide grid stability services such as frequency regulation and operating reserves. The regulatory framework allows BESS participation in these services with defined compensation structures.</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Regulatory framework: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The Indian Electricity Grid Code (IEGC) was amended in 2020 to allow BESS to participate in providing ancillary services. Compensation: ₹15/kWh for frequency response services; separate bidding process for operating reserve services. POSOCO Ancillary Services Manual v2.1 provides operational guidelines (January 2023).</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Current status: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Price discovery mechanisms and standardized payment structures are still under development, but the framework provides a foundation for BESS market participation.</w:t>
      </w:r>
      <w:r w:rsidDel="00000000" w:rsidR="00000000" w:rsidRPr="00000000">
        <w:rPr>
          <w:rtl w:val="0"/>
        </w:rPr>
      </w:r>
    </w:p>
    <w:p w:rsidR="00000000" w:rsidDel="00000000" w:rsidP="00000000" w:rsidRDefault="00000000" w:rsidRPr="00000000" w14:paraId="00000085">
      <w:pPr>
        <w:spacing w:after="200" w:before="100" w:lineRule="auto"/>
        <w:jc w:val="both"/>
        <w:rPr/>
      </w:pPr>
      <w:r w:rsidDel="00000000" w:rsidR="00000000" w:rsidRPr="00000000">
        <w:rPr>
          <w:i w:val="1"/>
          <w:iCs w:val="1"/>
          <w:sz w:val="17"/>
          <w:szCs w:val="17"/>
          <w:rtl w:val="0"/>
        </w:rPr>
        <w:t xml:space="preserve">Source: POSOCO - Grid Code Reforms</w:t>
      </w:r>
      <w:r w:rsidDel="00000000" w:rsidR="00000000" w:rsidRPr="00000000">
        <w:rPr>
          <w:rtl w:val="0"/>
        </w:rPr>
      </w:r>
    </w:p>
    <w:p w:rsidR="00000000" w:rsidDel="00000000" w:rsidP="00000000" w:rsidRDefault="00000000" w:rsidRPr="00000000" w14:paraId="00000086">
      <w:pPr>
        <w:pStyle w:val="Heading2"/>
        <w:spacing w:after="120" w:before="240" w:lineRule="auto"/>
        <w:jc w:val="both"/>
        <w:rPr>
          <w:color w:val="000000"/>
        </w:rPr>
      </w:pPr>
      <w:r w:rsidDel="00000000" w:rsidR="00000000" w:rsidRPr="00000000">
        <w:rPr>
          <w:b w:val="1"/>
          <w:bCs w:val="1"/>
          <w:color w:val="000000"/>
          <w:sz w:val="26"/>
          <w:szCs w:val="26"/>
          <w:rtl w:val="0"/>
        </w:rPr>
        <w:t xml:space="preserve">3. Long-Term Storage Contracts</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Current market gap: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There is currently no standardized long-term offtake framework equivalent to Power Purchase Agreements (PPAs) for generation assets. This absence creates significant revenue uncertainty for storage</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only projects and deters private investment in the sector.</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Policy development: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No standardized "Storage Power Purchase Agreement" (SPPA) framework exists yet. The MoP Draft Framework, under review since May 2023, proposes a 10-year SPPA duration, an availability</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based payment structure, and separate energy usage charges for actual dispatch. Framework finalization is anticipated by Q3 2025, which would enable financial closure of standalone BESS projects.</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Strategic importance: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The Ministry of Power and CERC are working on comprehensive policy frameworks to address this critical gap. Standardized long</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term contracts are essential for unlocking private investment and scaling BESS deployment across India.</w:t>
      </w:r>
      <w:r w:rsidDel="00000000" w:rsidR="00000000" w:rsidRPr="00000000">
        <w:rPr>
          <w:rtl w:val="0"/>
        </w:rPr>
      </w:r>
    </w:p>
    <w:p w:rsidR="00000000" w:rsidDel="00000000" w:rsidP="00000000" w:rsidRDefault="00000000" w:rsidRPr="00000000" w14:paraId="0000008A">
      <w:pPr>
        <w:spacing w:after="200" w:before="100" w:lineRule="auto"/>
        <w:jc w:val="both"/>
        <w:rPr/>
      </w:pPr>
      <w:r w:rsidDel="00000000" w:rsidR="00000000" w:rsidRPr="00000000">
        <w:rPr>
          <w:i w:val="1"/>
          <w:iCs w:val="1"/>
          <w:sz w:val="17"/>
          <w:szCs w:val="17"/>
          <w:rtl w:val="0"/>
        </w:rPr>
        <w:t xml:space="preserve">Source: Ministry of Power</w:t>
      </w:r>
      <w:r w:rsidDel="00000000" w:rsidR="00000000" w:rsidRPr="00000000">
        <w:rPr>
          <w:rtl w:val="0"/>
        </w:rPr>
      </w:r>
    </w:p>
    <w:p w:rsidR="00000000" w:rsidDel="00000000" w:rsidP="00000000" w:rsidRDefault="00000000" w:rsidRPr="00000000" w14:paraId="0000008B">
      <w:pPr>
        <w:pStyle w:val="Heading2"/>
        <w:spacing w:after="120" w:before="240" w:lineRule="auto"/>
        <w:jc w:val="both"/>
        <w:rPr>
          <w:color w:val="000000"/>
        </w:rPr>
      </w:pPr>
      <w:r w:rsidDel="00000000" w:rsidR="00000000" w:rsidRPr="00000000">
        <w:rPr>
          <w:b w:val="1"/>
          <w:bCs w:val="1"/>
          <w:color w:val="000000"/>
          <w:sz w:val="26"/>
          <w:szCs w:val="26"/>
          <w:rtl w:val="0"/>
        </w:rPr>
        <w:t xml:space="preserve">4. Market-Based (Merchant) Revenue </w:t>
      </w:r>
      <w:r w:rsidDel="00000000" w:rsidR="00000000" w:rsidRPr="00000000">
        <w:rPr>
          <w:b w:val="1"/>
          <w:bCs w:val="1"/>
          <w:color w:val="000000"/>
          <w:rtl w:val="0"/>
        </w:rPr>
        <w:t xml:space="preserve">-</w:t>
      </w:r>
      <w:r w:rsidDel="00000000" w:rsidR="00000000" w:rsidRPr="00000000">
        <w:rPr>
          <w:b w:val="1"/>
          <w:bCs w:val="1"/>
          <w:color w:val="000000"/>
          <w:sz w:val="26"/>
          <w:szCs w:val="26"/>
          <w:rtl w:val="0"/>
        </w:rPr>
        <w:t xml:space="preserve"> 2025 Update</w:t>
      </w:r>
      <w:r w:rsidDel="00000000" w:rsidR="00000000" w:rsidRPr="00000000">
        <w:rPr>
          <w:rtl w:val="0"/>
        </w:rPr>
      </w:r>
    </w:p>
    <w:p w:rsidR="00000000" w:rsidDel="00000000" w:rsidP="00000000" w:rsidRDefault="00000000" w:rsidRPr="00000000" w14:paraId="0000008C">
      <w:pPr>
        <w:spacing w:after="120" w:lineRule="auto"/>
        <w:jc w:val="both"/>
        <w:rPr/>
      </w:pPr>
      <w:r w:rsidDel="00000000" w:rsidR="00000000" w:rsidRPr="00000000">
        <w:rPr>
          <w:i w:val="0"/>
          <w:iCs w:val="0"/>
          <w:sz w:val="21"/>
          <w:szCs w:val="21"/>
          <w:rtl w:val="0"/>
        </w:rPr>
        <w:t xml:space="preserve">Beyond regulated tariffs, BESS is increasingly monetized through India's power exchanges, and this has materially changed the sector's revenue outlook since the original tariff frameworks above were designed.</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Merchant participation turned profitable: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BESS operating without fixed contracts (merchant BESS) became profitable in India for the first time in 2024, driven by falling battery costs and rising volatility</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driven earnings in day-ahead power markets.</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Revenue mix: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Arbitrage in the Day</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Ahead Market (DAM) contributes nearly </w:t>
      </w:r>
      <w:r w:rsidDel="00000000" w:rsidR="00000000" w:rsidRPr="00000000">
        <w:rPr>
          <w:rtl w:val="0"/>
        </w:rPr>
        <w:t xml:space="preserve">80-85%</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of total merchant earnings, with ancillary services accounting for the remaining </w:t>
      </w:r>
      <w:r w:rsidDel="00000000" w:rsidR="00000000" w:rsidRPr="00000000">
        <w:rPr>
          <w:rtl w:val="0"/>
        </w:rPr>
        <w:t xml:space="preserve">15-20%</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combining both can push project IRRs toward roughly 24% under optimistic assumptions.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Tender</w:t>
      </w:r>
      <w:r w:rsidDel="00000000" w:rsidR="00000000" w:rsidRPr="00000000">
        <w:rPr>
          <w:b w:val="1"/>
          <w:bCs w:val="1"/>
          <w:rtl w:val="0"/>
        </w:rPr>
        <w:t xml:space="preserve"> </w:t>
      </w: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based tariffs under pressure: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Standalone BESS tenders saw the lowest discovered tariff fall to ₹1.48 lakh/MW</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month in 2025 (from an indicative benchmark of ₹2.3 lakh/MW</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month), even as tariffs fell 71% between 2022 and 2025 far outpacing the 36% decline in battery pack prices over the same period. Nearly 75% of allocated 2-hour standalone capacity now sits in an at</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risk viability category.</w:t>
      </w:r>
      <w:r w:rsidDel="00000000" w:rsidR="00000000" w:rsidRPr="00000000">
        <w:rPr>
          <w:rtl w:val="0"/>
        </w:rPr>
      </w:r>
    </w:p>
    <w:p w:rsidR="00000000" w:rsidDel="00000000" w:rsidP="00000000" w:rsidRDefault="00000000" w:rsidRPr="00000000" w14:paraId="00000090">
      <w:pPr>
        <w:spacing w:after="200" w:before="100" w:lineRule="auto"/>
        <w:jc w:val="both"/>
        <w:rPr/>
      </w:pPr>
      <w:r w:rsidDel="00000000" w:rsidR="00000000" w:rsidRPr="00000000">
        <w:rPr>
          <w:i w:val="1"/>
          <w:iCs w:val="1"/>
          <w:sz w:val="17"/>
          <w:szCs w:val="17"/>
          <w:rtl w:val="0"/>
        </w:rPr>
        <w:t xml:space="preserve">Source: Ember ("The age of storage"); IEEFA/JMK Research, "Viability of Standalone BESS Tariffs Discovered in 2025"</w:t>
      </w:r>
      <w:r w:rsidDel="00000000" w:rsidR="00000000" w:rsidRPr="00000000">
        <w:rPr>
          <w:rtl w:val="0"/>
        </w:rPr>
      </w:r>
    </w:p>
    <w:p w:rsidR="00000000" w:rsidDel="00000000" w:rsidP="00000000" w:rsidRDefault="00000000" w:rsidRPr="00000000" w14:paraId="00000091">
      <w:pPr>
        <w:spacing w:after="40" w:before="200" w:lineRule="auto"/>
        <w:rPr/>
      </w:pPr>
      <w:r w:rsidDel="00000000" w:rsidR="00000000" w:rsidRPr="00000000">
        <w:rPr>
          <w:rtl w:val="0"/>
        </w:rPr>
      </w:r>
    </w:p>
    <w:p w:rsidR="00000000" w:rsidDel="00000000" w:rsidP="00000000" w:rsidRDefault="00000000" w:rsidRPr="00000000" w14:paraId="00000092">
      <w:pPr>
        <w:pStyle w:val="Heading1"/>
        <w:pBdr>
          <w:bottom w:color="2e8b57" w:space="6" w:sz="8" w:val="single"/>
        </w:pBdr>
        <w:spacing w:after="200" w:before="0" w:lineRule="auto"/>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pBdr>
          <w:bottom w:color="2e8b57" w:space="6" w:sz="8" w:val="single"/>
        </w:pBdr>
        <w:spacing w:after="200" w:before="0" w:lineRule="auto"/>
        <w:jc w:val="both"/>
        <w:rPr>
          <w:color w:val="000000"/>
        </w:rPr>
      </w:pPr>
      <w:r w:rsidDel="00000000" w:rsidR="00000000" w:rsidRPr="00000000">
        <w:rPr>
          <w:b w:val="1"/>
          <w:bCs w:val="1"/>
          <w:color w:val="000000"/>
          <w:sz w:val="32"/>
          <w:szCs w:val="32"/>
          <w:rtl w:val="0"/>
        </w:rPr>
        <w:t xml:space="preserve">Technology Landscape</w:t>
      </w:r>
      <w:r w:rsidDel="00000000" w:rsidR="00000000" w:rsidRPr="00000000">
        <w:rPr>
          <w:rtl w:val="0"/>
        </w:rPr>
      </w:r>
    </w:p>
    <w:p w:rsidR="00000000" w:rsidDel="00000000" w:rsidP="00000000" w:rsidRDefault="00000000" w:rsidRPr="00000000" w14:paraId="00000094">
      <w:pPr>
        <w:pStyle w:val="Heading2"/>
        <w:spacing w:after="120" w:before="240" w:lineRule="auto"/>
        <w:jc w:val="both"/>
        <w:rPr>
          <w:color w:val="000000"/>
        </w:rPr>
      </w:pPr>
      <w:r w:rsidDel="00000000" w:rsidR="00000000" w:rsidRPr="00000000">
        <w:rPr>
          <w:b w:val="1"/>
          <w:bCs w:val="1"/>
          <w:color w:val="000000"/>
          <w:sz w:val="26"/>
          <w:szCs w:val="26"/>
          <w:rtl w:val="0"/>
        </w:rPr>
        <w:t xml:space="preserve">Battery Chemistries in Use</w:t>
      </w:r>
      <w:r w:rsidDel="00000000" w:rsidR="00000000" w:rsidRPr="00000000">
        <w:rPr>
          <w:rtl w:val="0"/>
        </w:rPr>
      </w:r>
    </w:p>
    <w:p w:rsidR="00000000" w:rsidDel="00000000" w:rsidP="00000000" w:rsidRDefault="00000000" w:rsidRPr="00000000" w14:paraId="00000095">
      <w:pPr>
        <w:pStyle w:val="Heading3"/>
        <w:spacing w:after="80" w:before="160" w:lineRule="auto"/>
        <w:jc w:val="both"/>
        <w:rPr>
          <w:color w:val="000000"/>
        </w:rPr>
      </w:pPr>
      <w:r w:rsidDel="00000000" w:rsidR="00000000" w:rsidRPr="00000000">
        <w:rPr>
          <w:b w:val="1"/>
          <w:bCs w:val="1"/>
          <w:color w:val="000000"/>
          <w:sz w:val="22"/>
          <w:szCs w:val="22"/>
          <w:rtl w:val="0"/>
        </w:rPr>
        <w:t xml:space="preserve">1. Lithium Ion Batteries (Li ion)</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LFP (Lithium Iron Phosphate):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Lower energy density, but more stable, safer, and longer cycle life. Cost</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effective and widely used in India for grid and EV applications.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NMC (Nickel Manganese Cobalt):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Higher energy density, suitable for weight</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sensitive applications like electric cars and aviation, but costlier and more thermally sensitive.</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India relies heavily on imports for nearly 90% of its Li</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ion cells. However, early initiatives by companies like Reliance and Amara Raja are focused on localizing the production of LFP chemistry.</w:t>
      </w:r>
      <w:r w:rsidDel="00000000" w:rsidR="00000000" w:rsidRPr="00000000">
        <w:rPr>
          <w:rtl w:val="0"/>
        </w:rPr>
      </w:r>
    </w:p>
    <w:p w:rsidR="00000000" w:rsidDel="00000000" w:rsidP="00000000" w:rsidRDefault="00000000" w:rsidRPr="00000000" w14:paraId="00000099">
      <w:pPr>
        <w:pStyle w:val="Heading3"/>
        <w:spacing w:after="80" w:before="160" w:lineRule="auto"/>
        <w:jc w:val="both"/>
        <w:rPr>
          <w:color w:val="000000"/>
        </w:rPr>
      </w:pPr>
      <w:r w:rsidDel="00000000" w:rsidR="00000000" w:rsidRPr="00000000">
        <w:rPr>
          <w:b w:val="1"/>
          <w:bCs w:val="1"/>
          <w:color w:val="000000"/>
          <w:sz w:val="22"/>
          <w:szCs w:val="22"/>
          <w:rtl w:val="0"/>
        </w:rPr>
        <w:t xml:space="preserve">2. Sodium-Ion Batteries (Na ion) (Emerging)</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Sodium-ion batteries (Na</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ion) are emerging as a low</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cost, abundant alternative to Li</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ion batteries.</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They offer lower energy density, typically around 100</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150 Wh/kg, but are notable for their high thermal stability and rapid charging capabilities.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Reliance New Energy and Faradion (UK) are the key players developing Na</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ion tech for grid</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scale deployment in India.</w:t>
      </w:r>
      <w:r w:rsidDel="00000000" w:rsidR="00000000" w:rsidRPr="00000000">
        <w:rPr>
          <w:rtl w:val="0"/>
        </w:rPr>
      </w:r>
    </w:p>
    <w:p w:rsidR="00000000" w:rsidDel="00000000" w:rsidP="00000000" w:rsidRDefault="00000000" w:rsidRPr="00000000" w14:paraId="0000009D">
      <w:pPr>
        <w:pStyle w:val="Heading3"/>
        <w:spacing w:after="80" w:before="160" w:lineRule="auto"/>
        <w:jc w:val="both"/>
        <w:rPr>
          <w:color w:val="000000"/>
        </w:rPr>
      </w:pPr>
      <w:r w:rsidDel="00000000" w:rsidR="00000000" w:rsidRPr="00000000">
        <w:rPr>
          <w:b w:val="1"/>
          <w:bCs w:val="1"/>
          <w:color w:val="000000"/>
          <w:sz w:val="22"/>
          <w:szCs w:val="22"/>
          <w:rtl w:val="0"/>
        </w:rPr>
        <w:t xml:space="preserve">3. Flow Batteries (Vanadium &amp; Zinc-based)</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Store energy in liquid electrolytes, decouple energy from power, ideal for long-duration storage (&gt;6h).</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Still in early commercial stages; pilot projects in the US, China, and Australia.</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Higher capex per kWh but superior lifecycle and unlimited deep discharge cycles.</w:t>
      </w:r>
      <w:r w:rsidDel="00000000" w:rsidR="00000000" w:rsidRPr="00000000">
        <w:rPr>
          <w:rtl w:val="0"/>
        </w:rPr>
      </w:r>
    </w:p>
    <w:p w:rsidR="00000000" w:rsidDel="00000000" w:rsidP="00000000" w:rsidRDefault="00000000" w:rsidRPr="00000000" w14:paraId="000000A1">
      <w:pPr>
        <w:pStyle w:val="Heading3"/>
        <w:spacing w:after="80" w:before="160" w:lineRule="auto"/>
        <w:jc w:val="both"/>
        <w:rPr>
          <w:color w:val="000000"/>
        </w:rPr>
      </w:pPr>
      <w:r w:rsidDel="00000000" w:rsidR="00000000" w:rsidRPr="00000000">
        <w:rPr>
          <w:b w:val="1"/>
          <w:bCs w:val="1"/>
          <w:color w:val="000000"/>
          <w:sz w:val="22"/>
          <w:szCs w:val="22"/>
          <w:rtl w:val="0"/>
        </w:rPr>
        <w:t xml:space="preserve">4. Solid-State Batteries (Future Prospect)</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Replace liquid electrolytes with solid materials, reducing fire risk and increasing energy density.</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Major OEMs (Toyota, QuantumScape) are targeting commercial launches post-2027.</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Currently not viable at utility scale due to cost and technical complexity.</w:t>
      </w:r>
      <w:r w:rsidDel="00000000" w:rsidR="00000000" w:rsidRPr="00000000">
        <w:rPr>
          <w:rtl w:val="0"/>
        </w:rPr>
      </w:r>
    </w:p>
    <w:p w:rsidR="00000000" w:rsidDel="00000000" w:rsidP="00000000" w:rsidRDefault="00000000" w:rsidRPr="00000000" w14:paraId="000000A5">
      <w:pPr>
        <w:pStyle w:val="Heading2"/>
        <w:spacing w:after="120" w:before="240" w:lineRule="auto"/>
        <w:jc w:val="both"/>
        <w:rPr>
          <w:color w:val="000000"/>
        </w:rPr>
      </w:pPr>
      <w:r w:rsidDel="00000000" w:rsidR="00000000" w:rsidRPr="00000000">
        <w:rPr>
          <w:b w:val="1"/>
          <w:bCs w:val="1"/>
          <w:color w:val="000000"/>
          <w:sz w:val="26"/>
          <w:szCs w:val="26"/>
          <w:rtl w:val="0"/>
        </w:rPr>
        <w:t xml:space="preserve">System Configuration</w:t>
      </w:r>
      <w:r w:rsidDel="00000000" w:rsidR="00000000" w:rsidRPr="00000000">
        <w:rPr>
          <w:rtl w:val="0"/>
        </w:rPr>
      </w:r>
    </w:p>
    <w:p w:rsidR="00000000" w:rsidDel="00000000" w:rsidP="00000000" w:rsidRDefault="00000000" w:rsidRPr="00000000" w14:paraId="000000A6">
      <w:pPr>
        <w:pStyle w:val="Heading3"/>
        <w:spacing w:after="80" w:before="160" w:lineRule="auto"/>
        <w:jc w:val="both"/>
        <w:rPr>
          <w:color w:val="000000"/>
        </w:rPr>
      </w:pPr>
      <w:r w:rsidDel="00000000" w:rsidR="00000000" w:rsidRPr="00000000">
        <w:rPr>
          <w:b w:val="1"/>
          <w:bCs w:val="1"/>
          <w:color w:val="000000"/>
          <w:sz w:val="22"/>
          <w:szCs w:val="22"/>
          <w:rtl w:val="0"/>
        </w:rPr>
        <w:t xml:space="preserve">1. AC-Coupled vs DC-Coupled</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AC</w:t>
      </w:r>
      <w:r w:rsidDel="00000000" w:rsidR="00000000" w:rsidRPr="00000000">
        <w:rPr>
          <w:b w:val="1"/>
          <w:bCs w:val="1"/>
          <w:rtl w:val="0"/>
        </w:rPr>
        <w:t xml:space="preserve"> </w:t>
      </w: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Coupled: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BESS and renewable assets have separate inverters. Flexible but slightly higher losses.</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DC</w:t>
      </w:r>
      <w:r w:rsidDel="00000000" w:rsidR="00000000" w:rsidRPr="00000000">
        <w:rPr>
          <w:b w:val="1"/>
          <w:bCs w:val="1"/>
          <w:rtl w:val="0"/>
        </w:rPr>
        <w:t xml:space="preserve"> </w:t>
      </w: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Coupled: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Shares inverter with co-located PV/Wind, reducing conversion losses and capex (~5</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10%). More common in co</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located systems.</w:t>
      </w:r>
      <w:r w:rsidDel="00000000" w:rsidR="00000000" w:rsidRPr="00000000">
        <w:rPr>
          <w:rtl w:val="0"/>
        </w:rPr>
      </w:r>
    </w:p>
    <w:p w:rsidR="00000000" w:rsidDel="00000000" w:rsidP="00000000" w:rsidRDefault="00000000" w:rsidRPr="00000000" w14:paraId="000000A9">
      <w:pPr>
        <w:pStyle w:val="Heading3"/>
        <w:spacing w:after="80" w:before="160" w:lineRule="auto"/>
        <w:jc w:val="both"/>
        <w:rPr>
          <w:color w:val="000000"/>
        </w:rPr>
      </w:pPr>
      <w:r w:rsidDel="00000000" w:rsidR="00000000" w:rsidRPr="00000000">
        <w:rPr>
          <w:b w:val="1"/>
          <w:bCs w:val="1"/>
          <w:color w:val="000000"/>
          <w:sz w:val="22"/>
          <w:szCs w:val="22"/>
          <w:rtl w:val="0"/>
        </w:rPr>
        <w:t xml:space="preserve">2. Duration Tiers</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Short-duration (1</w:t>
      </w:r>
      <w:r w:rsidDel="00000000" w:rsidR="00000000" w:rsidRPr="00000000">
        <w:rPr>
          <w:b w:val="1"/>
          <w:bCs w:val="1"/>
          <w:rtl w:val="0"/>
        </w:rPr>
        <w:t xml:space="preserve">-</w:t>
      </w: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2 hours):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Used for frequency response, voltage support, and small</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scale C&amp;I storage.</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Medium-duration (2</w:t>
      </w:r>
      <w:r w:rsidDel="00000000" w:rsidR="00000000" w:rsidRPr="00000000">
        <w:rPr>
          <w:b w:val="1"/>
          <w:bCs w:val="1"/>
          <w:rtl w:val="0"/>
        </w:rPr>
        <w:t xml:space="preserve">-</w:t>
      </w: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4 hours):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Most common for renewable energy shifting and grid stability.</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Long-duration (&gt;4 hours):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Needed for deep decarbonization, daily cycling, and overnight firming of renewables. Still under early commercialization.</w:t>
      </w:r>
      <w:r w:rsidDel="00000000" w:rsidR="00000000" w:rsidRPr="00000000">
        <w:rPr>
          <w:rtl w:val="0"/>
        </w:rPr>
      </w:r>
    </w:p>
    <w:p w:rsidR="00000000" w:rsidDel="00000000" w:rsidP="00000000" w:rsidRDefault="00000000" w:rsidRPr="00000000" w14:paraId="000000AD">
      <w:pPr>
        <w:pStyle w:val="Heading3"/>
        <w:spacing w:after="80" w:before="160" w:lineRule="auto"/>
        <w:jc w:val="both"/>
        <w:rPr>
          <w:color w:val="000000"/>
        </w:rPr>
      </w:pPr>
      <w:r w:rsidDel="00000000" w:rsidR="00000000" w:rsidRPr="00000000">
        <w:rPr>
          <w:b w:val="1"/>
          <w:bCs w:val="1"/>
          <w:color w:val="000000"/>
          <w:sz w:val="22"/>
          <w:szCs w:val="22"/>
          <w:rtl w:val="0"/>
        </w:rPr>
        <w:t xml:space="preserve">3. Project Types</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Co-located BESS + RE: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Shared infrastructure is common in India's SECI tenders (e.g., solar + BESS).</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Standalone BESS: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Acts as a virtual peaker plant or grid asset, capable of providing multiple services (arbitrage, reserve, black start).</w:t>
      </w:r>
      <w:r w:rsidDel="00000000" w:rsidR="00000000" w:rsidRPr="00000000">
        <w:rPr>
          <w:rtl w:val="0"/>
        </w:rPr>
      </w:r>
    </w:p>
    <w:p w:rsidR="00000000" w:rsidDel="00000000" w:rsidP="00000000" w:rsidRDefault="00000000" w:rsidRPr="00000000" w14:paraId="000000B0">
      <w:pPr>
        <w:pStyle w:val="Heading2"/>
        <w:spacing w:after="120" w:before="240" w:lineRule="auto"/>
        <w:jc w:val="both"/>
        <w:rPr>
          <w:color w:val="000000"/>
        </w:rPr>
      </w:pPr>
      <w:r w:rsidDel="00000000" w:rsidR="00000000" w:rsidRPr="00000000">
        <w:rPr>
          <w:b w:val="1"/>
          <w:bCs w:val="1"/>
          <w:color w:val="000000"/>
          <w:sz w:val="26"/>
          <w:szCs w:val="26"/>
          <w:rtl w:val="0"/>
        </w:rPr>
        <w:t xml:space="preserve">Efficiency, Safety, and Lifespan</w:t>
      </w:r>
      <w:r w:rsidDel="00000000" w:rsidR="00000000" w:rsidRPr="00000000">
        <w:rPr>
          <w:rtl w:val="0"/>
        </w:rPr>
      </w:r>
    </w:p>
    <w:p w:rsidR="00000000" w:rsidDel="00000000" w:rsidP="00000000" w:rsidRDefault="00000000" w:rsidRPr="00000000" w14:paraId="000000B1">
      <w:pPr>
        <w:pStyle w:val="Heading3"/>
        <w:spacing w:after="80" w:before="160" w:lineRule="auto"/>
        <w:jc w:val="both"/>
        <w:rPr>
          <w:color w:val="000000"/>
        </w:rPr>
      </w:pPr>
      <w:r w:rsidDel="00000000" w:rsidR="00000000" w:rsidRPr="00000000">
        <w:rPr>
          <w:b w:val="1"/>
          <w:bCs w:val="1"/>
          <w:color w:val="000000"/>
          <w:sz w:val="22"/>
          <w:szCs w:val="22"/>
          <w:rtl w:val="0"/>
        </w:rPr>
        <w:t xml:space="preserve">1. Round-Trip Efficiency (RTE)</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Li-ion: 85</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92%</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Flow: 65</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75%</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Higher efficiency directly improves revenue from arbitrage and grid services.</w:t>
      </w:r>
      <w:r w:rsidDel="00000000" w:rsidR="00000000" w:rsidRPr="00000000">
        <w:rPr>
          <w:rtl w:val="0"/>
        </w:rPr>
      </w:r>
    </w:p>
    <w:p w:rsidR="00000000" w:rsidDel="00000000" w:rsidP="00000000" w:rsidRDefault="00000000" w:rsidRPr="00000000" w14:paraId="000000B5">
      <w:pPr>
        <w:pStyle w:val="Heading3"/>
        <w:spacing w:after="80" w:before="160" w:lineRule="auto"/>
        <w:jc w:val="both"/>
        <w:rPr>
          <w:color w:val="000000"/>
        </w:rPr>
      </w:pPr>
      <w:r w:rsidDel="00000000" w:rsidR="00000000" w:rsidRPr="00000000">
        <w:rPr>
          <w:b w:val="1"/>
          <w:bCs w:val="1"/>
          <w:color w:val="000000"/>
          <w:sz w:val="22"/>
          <w:szCs w:val="22"/>
          <w:rtl w:val="0"/>
        </w:rPr>
        <w:t xml:space="preserve">2. Cycle Life &amp; Calendar Degradation</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LFP: &gt;3,000</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5,000 cycles</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NMC: ~2,000</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3,000 cycles</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Flow: 10,000+ cycles</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Batteries degrade over time due to chemical stress, even if unused (calendar aging). System design must account for future capacity loss.</w:t>
      </w:r>
      <w:r w:rsidDel="00000000" w:rsidR="00000000" w:rsidRPr="00000000">
        <w:rPr>
          <w:rtl w:val="0"/>
        </w:rPr>
      </w:r>
    </w:p>
    <w:p w:rsidR="00000000" w:rsidDel="00000000" w:rsidP="00000000" w:rsidRDefault="00000000" w:rsidRPr="00000000" w14:paraId="000000BA">
      <w:pPr>
        <w:pStyle w:val="Heading3"/>
        <w:spacing w:after="80" w:before="160" w:lineRule="auto"/>
        <w:jc w:val="both"/>
        <w:rPr>
          <w:color w:val="000000"/>
        </w:rPr>
      </w:pPr>
      <w:r w:rsidDel="00000000" w:rsidR="00000000" w:rsidRPr="00000000">
        <w:rPr>
          <w:b w:val="1"/>
          <w:bCs w:val="1"/>
          <w:color w:val="000000"/>
          <w:sz w:val="22"/>
          <w:szCs w:val="22"/>
          <w:rtl w:val="0"/>
        </w:rPr>
        <w:t xml:space="preserve">3. Thermal Management &amp; Fire Risk</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Critical for battery safety, especially for NMC chemistries, which have higher energy density and flammability.</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BMS (Battery Management System) and advanced cooling (liquid/air) are mandatory for large deployments.</w:t>
      </w:r>
      <w:r w:rsidDel="00000000" w:rsidR="00000000" w:rsidRPr="00000000">
        <w:rPr>
          <w:rtl w:val="0"/>
        </w:rPr>
      </w:r>
    </w:p>
    <w:p w:rsidR="00000000" w:rsidDel="00000000" w:rsidP="00000000" w:rsidRDefault="00000000" w:rsidRPr="00000000" w14:paraId="000000BD">
      <w:pPr>
        <w:pStyle w:val="Heading2"/>
        <w:spacing w:after="120" w:before="240" w:lineRule="auto"/>
        <w:jc w:val="both"/>
        <w:rPr>
          <w:color w:val="000000"/>
        </w:rPr>
      </w:pPr>
      <w:r w:rsidDel="00000000" w:rsidR="00000000" w:rsidRPr="00000000">
        <w:rPr>
          <w:b w:val="1"/>
          <w:bCs w:val="1"/>
          <w:color w:val="000000"/>
          <w:sz w:val="26"/>
          <w:szCs w:val="26"/>
          <w:rtl w:val="0"/>
        </w:rPr>
        <w:t xml:space="preserve">Technological Maturity &amp; Commercial Viability</w:t>
      </w:r>
      <w:r w:rsidDel="00000000" w:rsidR="00000000" w:rsidRPr="00000000">
        <w:rPr>
          <w:rtl w:val="0"/>
        </w:rPr>
      </w:r>
    </w:p>
    <w:p w:rsidR="00000000" w:rsidDel="00000000" w:rsidP="00000000" w:rsidRDefault="00000000" w:rsidRPr="00000000" w14:paraId="000000BE">
      <w:pPr>
        <w:spacing w:after="120" w:lineRule="auto"/>
        <w:jc w:val="both"/>
        <w:rPr/>
      </w:pPr>
      <w:r w:rsidDel="00000000" w:rsidR="00000000" w:rsidRPr="00000000">
        <w:rPr>
          <w:i w:val="0"/>
          <w:iCs w:val="0"/>
          <w:sz w:val="21"/>
          <w:szCs w:val="21"/>
          <w:rtl w:val="0"/>
        </w:rPr>
        <w:t xml:space="preserve">We will examine the current stage of battery technology:</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0"/>
        <w:gridCol w:w="3100"/>
        <w:gridCol w:w="3150"/>
        <w:tblGridChange w:id="0">
          <w:tblGrid>
            <w:gridCol w:w="3100"/>
            <w:gridCol w:w="3100"/>
            <w:gridCol w:w="3150"/>
          </w:tblGrid>
        </w:tblGridChange>
      </w:tblGrid>
      <w:tr>
        <w:trPr>
          <w:cantSplit w:val="0"/>
          <w:tblHeader w:val="0"/>
        </w:trPr>
        <w:tc>
          <w:tcPr>
            <w:shd w:fill="1b3a57" w:val="clear"/>
            <w:tcMar>
              <w:top w:w="80.0" w:type="dxa"/>
              <w:left w:w="100.0" w:type="dxa"/>
              <w:bottom w:w="80.0" w:type="dxa"/>
              <w:right w:w="100.0" w:type="dxa"/>
            </w:tcMar>
            <w:vAlign w:val="center"/>
          </w:tcPr>
          <w:p w:rsidR="00000000" w:rsidDel="00000000" w:rsidP="00000000" w:rsidRDefault="00000000" w:rsidRPr="00000000" w14:paraId="000000BF">
            <w:pPr>
              <w:jc w:val="left"/>
              <w:rPr/>
            </w:pPr>
            <w:r w:rsidDel="00000000" w:rsidR="00000000" w:rsidRPr="00000000">
              <w:rPr>
                <w:b w:val="1"/>
                <w:bCs w:val="1"/>
                <w:sz w:val="19"/>
                <w:szCs w:val="19"/>
                <w:rtl w:val="0"/>
              </w:rPr>
              <w:t xml:space="preserve">Battery Technology</w:t>
            </w:r>
            <w:r w:rsidDel="00000000" w:rsidR="00000000" w:rsidRPr="00000000">
              <w:rPr>
                <w:rtl w:val="0"/>
              </w:rPr>
            </w:r>
          </w:p>
        </w:tc>
        <w:tc>
          <w:tcPr>
            <w:shd w:fill="1b3a57" w:val="clear"/>
            <w:tcMar>
              <w:top w:w="80.0" w:type="dxa"/>
              <w:left w:w="100.0" w:type="dxa"/>
              <w:bottom w:w="80.0" w:type="dxa"/>
              <w:right w:w="100.0" w:type="dxa"/>
            </w:tcMar>
            <w:vAlign w:val="center"/>
          </w:tcPr>
          <w:p w:rsidR="00000000" w:rsidDel="00000000" w:rsidP="00000000" w:rsidRDefault="00000000" w:rsidRPr="00000000" w14:paraId="000000C0">
            <w:pPr>
              <w:jc w:val="left"/>
              <w:rPr/>
            </w:pPr>
            <w:r w:rsidDel="00000000" w:rsidR="00000000" w:rsidRPr="00000000">
              <w:rPr>
                <w:b w:val="1"/>
                <w:bCs w:val="1"/>
                <w:sz w:val="19"/>
                <w:szCs w:val="19"/>
                <w:rtl w:val="0"/>
              </w:rPr>
              <w:t xml:space="preserve">Deployment Status</w:t>
            </w:r>
            <w:r w:rsidDel="00000000" w:rsidR="00000000" w:rsidRPr="00000000">
              <w:rPr>
                <w:rtl w:val="0"/>
              </w:rPr>
            </w:r>
          </w:p>
        </w:tc>
        <w:tc>
          <w:tcPr>
            <w:shd w:fill="1b3a57" w:val="clear"/>
            <w:tcMar>
              <w:top w:w="80.0" w:type="dxa"/>
              <w:left w:w="100.0" w:type="dxa"/>
              <w:bottom w:w="80.0" w:type="dxa"/>
              <w:right w:w="100.0" w:type="dxa"/>
            </w:tcMar>
            <w:vAlign w:val="center"/>
          </w:tcPr>
          <w:p w:rsidR="00000000" w:rsidDel="00000000" w:rsidP="00000000" w:rsidRDefault="00000000" w:rsidRPr="00000000" w14:paraId="000000C1">
            <w:pPr>
              <w:jc w:val="left"/>
              <w:rPr/>
            </w:pPr>
            <w:r w:rsidDel="00000000" w:rsidR="00000000" w:rsidRPr="00000000">
              <w:rPr>
                <w:b w:val="1"/>
                <w:bCs w:val="1"/>
                <w:sz w:val="19"/>
                <w:szCs w:val="19"/>
                <w:rtl w:val="0"/>
              </w:rPr>
              <w:t xml:space="preserve">Description</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C2">
            <w:pPr>
              <w:jc w:val="left"/>
              <w:rPr/>
            </w:pPr>
            <w:r w:rsidDel="00000000" w:rsidR="00000000" w:rsidRPr="00000000">
              <w:rPr>
                <w:b w:val="0"/>
                <w:bCs w:val="0"/>
                <w:sz w:val="19"/>
                <w:szCs w:val="19"/>
                <w:rtl w:val="0"/>
              </w:rPr>
              <w:t xml:space="preserve">LFP (Lithium Iron Phosphate)</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C3">
            <w:pPr>
              <w:jc w:val="left"/>
              <w:rPr/>
            </w:pPr>
            <w:r w:rsidDel="00000000" w:rsidR="00000000" w:rsidRPr="00000000">
              <w:rPr>
                <w:b w:val="0"/>
                <w:bCs w:val="0"/>
                <w:sz w:val="19"/>
                <w:szCs w:val="19"/>
                <w:rtl w:val="0"/>
              </w:rPr>
              <w:t xml:space="preserve">Fully commercial (India</w:t>
            </w:r>
            <w:r w:rsidDel="00000000" w:rsidR="00000000" w:rsidRPr="00000000">
              <w:rPr>
                <w:sz w:val="19"/>
                <w:szCs w:val="19"/>
                <w:rtl w:val="0"/>
              </w:rPr>
              <w:t xml:space="preserve">-</w:t>
            </w:r>
            <w:r w:rsidDel="00000000" w:rsidR="00000000" w:rsidRPr="00000000">
              <w:rPr>
                <w:b w:val="0"/>
                <w:bCs w:val="0"/>
                <w:sz w:val="19"/>
                <w:szCs w:val="19"/>
                <w:rtl w:val="0"/>
              </w:rPr>
              <w:t xml:space="preserve">China)</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C4">
            <w:pPr>
              <w:jc w:val="left"/>
              <w:rPr/>
            </w:pPr>
            <w:r w:rsidDel="00000000" w:rsidR="00000000" w:rsidRPr="00000000">
              <w:rPr>
                <w:b w:val="0"/>
                <w:bCs w:val="0"/>
                <w:sz w:val="19"/>
                <w:szCs w:val="19"/>
                <w:rtl w:val="0"/>
              </w:rPr>
              <w:t xml:space="preserve">Proven, stable chemistry with long life cycle</w:t>
            </w:r>
            <w:r w:rsidDel="00000000" w:rsidR="00000000" w:rsidRPr="00000000">
              <w:rPr>
                <w:rtl w:val="0"/>
              </w:rPr>
            </w:r>
          </w:p>
        </w:tc>
      </w:tr>
      <w:tr>
        <w:trPr>
          <w:cantSplit w:val="0"/>
          <w:tblHeader w:val="0"/>
        </w:trPr>
        <w:tc>
          <w:tcPr>
            <w:shd w:fill="e8eef3" w:val="clear"/>
            <w:tcMar>
              <w:top w:w="80.0" w:type="dxa"/>
              <w:left w:w="100.0" w:type="dxa"/>
              <w:bottom w:w="80.0" w:type="dxa"/>
              <w:right w:w="100.0" w:type="dxa"/>
            </w:tcMar>
            <w:vAlign w:val="center"/>
          </w:tcPr>
          <w:p w:rsidR="00000000" w:rsidDel="00000000" w:rsidP="00000000" w:rsidRDefault="00000000" w:rsidRPr="00000000" w14:paraId="000000C5">
            <w:pPr>
              <w:jc w:val="left"/>
              <w:rPr/>
            </w:pPr>
            <w:r w:rsidDel="00000000" w:rsidR="00000000" w:rsidRPr="00000000">
              <w:rPr>
                <w:b w:val="0"/>
                <w:bCs w:val="0"/>
                <w:sz w:val="19"/>
                <w:szCs w:val="19"/>
                <w:rtl w:val="0"/>
              </w:rPr>
              <w:t xml:space="preserve">NMC (Nickel Manganese Cobalt)</w:t>
            </w:r>
            <w:r w:rsidDel="00000000" w:rsidR="00000000" w:rsidRPr="00000000">
              <w:rPr>
                <w:rtl w:val="0"/>
              </w:rPr>
            </w:r>
          </w:p>
        </w:tc>
        <w:tc>
          <w:tcPr>
            <w:shd w:fill="e8eef3" w:val="clear"/>
            <w:tcMar>
              <w:top w:w="80.0" w:type="dxa"/>
              <w:left w:w="100.0" w:type="dxa"/>
              <w:bottom w:w="80.0" w:type="dxa"/>
              <w:right w:w="100.0" w:type="dxa"/>
            </w:tcMar>
            <w:vAlign w:val="center"/>
          </w:tcPr>
          <w:p w:rsidR="00000000" w:rsidDel="00000000" w:rsidP="00000000" w:rsidRDefault="00000000" w:rsidRPr="00000000" w14:paraId="000000C6">
            <w:pPr>
              <w:jc w:val="left"/>
              <w:rPr/>
            </w:pPr>
            <w:r w:rsidDel="00000000" w:rsidR="00000000" w:rsidRPr="00000000">
              <w:rPr>
                <w:b w:val="0"/>
                <w:bCs w:val="0"/>
                <w:sz w:val="19"/>
                <w:szCs w:val="19"/>
                <w:rtl w:val="0"/>
              </w:rPr>
              <w:t xml:space="preserve">Widely commercial in EVs + storage</w:t>
            </w:r>
            <w:r w:rsidDel="00000000" w:rsidR="00000000" w:rsidRPr="00000000">
              <w:rPr>
                <w:rtl w:val="0"/>
              </w:rPr>
            </w:r>
          </w:p>
        </w:tc>
        <w:tc>
          <w:tcPr>
            <w:shd w:fill="e8eef3" w:val="clear"/>
            <w:tcMar>
              <w:top w:w="80.0" w:type="dxa"/>
              <w:left w:w="100.0" w:type="dxa"/>
              <w:bottom w:w="80.0" w:type="dxa"/>
              <w:right w:w="100.0" w:type="dxa"/>
            </w:tcMar>
            <w:vAlign w:val="center"/>
          </w:tcPr>
          <w:p w:rsidR="00000000" w:rsidDel="00000000" w:rsidP="00000000" w:rsidRDefault="00000000" w:rsidRPr="00000000" w14:paraId="000000C7">
            <w:pPr>
              <w:jc w:val="left"/>
              <w:rPr/>
            </w:pPr>
            <w:r w:rsidDel="00000000" w:rsidR="00000000" w:rsidRPr="00000000">
              <w:rPr>
                <w:b w:val="0"/>
                <w:bCs w:val="0"/>
                <w:sz w:val="19"/>
                <w:szCs w:val="19"/>
                <w:rtl w:val="0"/>
              </w:rPr>
              <w:t xml:space="preserve">High energy density, dominant in EV sector</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C8">
            <w:pPr>
              <w:jc w:val="left"/>
              <w:rPr/>
            </w:pPr>
            <w:r w:rsidDel="00000000" w:rsidR="00000000" w:rsidRPr="00000000">
              <w:rPr>
                <w:b w:val="0"/>
                <w:bCs w:val="0"/>
                <w:sz w:val="19"/>
                <w:szCs w:val="19"/>
                <w:rtl w:val="0"/>
              </w:rPr>
              <w:t xml:space="preserve">Sodium</w:t>
            </w:r>
            <w:r w:rsidDel="00000000" w:rsidR="00000000" w:rsidRPr="00000000">
              <w:rPr>
                <w:sz w:val="19"/>
                <w:szCs w:val="19"/>
                <w:rtl w:val="0"/>
              </w:rPr>
              <w:t xml:space="preserve"> </w:t>
            </w:r>
            <w:r w:rsidDel="00000000" w:rsidR="00000000" w:rsidRPr="00000000">
              <w:rPr>
                <w:b w:val="0"/>
                <w:bCs w:val="0"/>
                <w:sz w:val="19"/>
                <w:szCs w:val="19"/>
                <w:rtl w:val="0"/>
              </w:rPr>
              <w:t xml:space="preserve">Ion Batteries (Na</w:t>
            </w:r>
            <w:r w:rsidDel="00000000" w:rsidR="00000000" w:rsidRPr="00000000">
              <w:rPr>
                <w:sz w:val="19"/>
                <w:szCs w:val="19"/>
                <w:rtl w:val="0"/>
              </w:rPr>
              <w:t xml:space="preserve"> </w:t>
            </w:r>
            <w:r w:rsidDel="00000000" w:rsidR="00000000" w:rsidRPr="00000000">
              <w:rPr>
                <w:b w:val="0"/>
                <w:bCs w:val="0"/>
                <w:sz w:val="19"/>
                <w:szCs w:val="19"/>
                <w:rtl w:val="0"/>
              </w:rPr>
              <w:t xml:space="preserve">ion)</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C9">
            <w:pPr>
              <w:jc w:val="left"/>
              <w:rPr/>
            </w:pPr>
            <w:r w:rsidDel="00000000" w:rsidR="00000000" w:rsidRPr="00000000">
              <w:rPr>
                <w:b w:val="0"/>
                <w:bCs w:val="0"/>
                <w:sz w:val="19"/>
                <w:szCs w:val="19"/>
                <w:rtl w:val="0"/>
              </w:rPr>
              <w:t xml:space="preserve">Pilot stage (Faradion &amp; CATL)</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CA">
            <w:pPr>
              <w:jc w:val="left"/>
              <w:rPr/>
            </w:pPr>
            <w:r w:rsidDel="00000000" w:rsidR="00000000" w:rsidRPr="00000000">
              <w:rPr>
                <w:b w:val="0"/>
                <w:bCs w:val="0"/>
                <w:sz w:val="19"/>
                <w:szCs w:val="19"/>
                <w:rtl w:val="0"/>
              </w:rPr>
              <w:t xml:space="preserve">Emerging as a low</w:t>
            </w:r>
            <w:r w:rsidDel="00000000" w:rsidR="00000000" w:rsidRPr="00000000">
              <w:rPr>
                <w:sz w:val="19"/>
                <w:szCs w:val="19"/>
                <w:rtl w:val="0"/>
              </w:rPr>
              <w:t xml:space="preserve"> </w:t>
            </w:r>
            <w:r w:rsidDel="00000000" w:rsidR="00000000" w:rsidRPr="00000000">
              <w:rPr>
                <w:b w:val="0"/>
                <w:bCs w:val="0"/>
                <w:sz w:val="19"/>
                <w:szCs w:val="19"/>
                <w:rtl w:val="0"/>
              </w:rPr>
              <w:t xml:space="preserve">cost alternative to Li</w:t>
            </w:r>
            <w:r w:rsidDel="00000000" w:rsidR="00000000" w:rsidRPr="00000000">
              <w:rPr>
                <w:sz w:val="19"/>
                <w:szCs w:val="19"/>
                <w:rtl w:val="0"/>
              </w:rPr>
              <w:t xml:space="preserve"> </w:t>
            </w:r>
            <w:r w:rsidDel="00000000" w:rsidR="00000000" w:rsidRPr="00000000">
              <w:rPr>
                <w:b w:val="0"/>
                <w:bCs w:val="0"/>
                <w:sz w:val="19"/>
                <w:szCs w:val="19"/>
                <w:rtl w:val="0"/>
              </w:rPr>
              <w:t xml:space="preserve">ion</w:t>
            </w:r>
            <w:r w:rsidDel="00000000" w:rsidR="00000000" w:rsidRPr="00000000">
              <w:rPr>
                <w:rtl w:val="0"/>
              </w:rPr>
            </w:r>
          </w:p>
        </w:tc>
      </w:tr>
      <w:tr>
        <w:trPr>
          <w:cantSplit w:val="0"/>
          <w:tblHeader w:val="0"/>
        </w:trPr>
        <w:tc>
          <w:tcPr>
            <w:shd w:fill="e8eef3" w:val="clear"/>
            <w:tcMar>
              <w:top w:w="80.0" w:type="dxa"/>
              <w:left w:w="100.0" w:type="dxa"/>
              <w:bottom w:w="80.0" w:type="dxa"/>
              <w:right w:w="100.0" w:type="dxa"/>
            </w:tcMar>
            <w:vAlign w:val="center"/>
          </w:tcPr>
          <w:p w:rsidR="00000000" w:rsidDel="00000000" w:rsidP="00000000" w:rsidRDefault="00000000" w:rsidRPr="00000000" w14:paraId="000000CB">
            <w:pPr>
              <w:jc w:val="left"/>
              <w:rPr/>
            </w:pPr>
            <w:r w:rsidDel="00000000" w:rsidR="00000000" w:rsidRPr="00000000">
              <w:rPr>
                <w:b w:val="0"/>
                <w:bCs w:val="0"/>
                <w:sz w:val="19"/>
                <w:szCs w:val="19"/>
                <w:rtl w:val="0"/>
              </w:rPr>
              <w:t xml:space="preserve">Flow Batteries (Vanadium &amp; Zinc</w:t>
            </w:r>
            <w:r w:rsidDel="00000000" w:rsidR="00000000" w:rsidRPr="00000000">
              <w:rPr>
                <w:sz w:val="19"/>
                <w:szCs w:val="19"/>
                <w:rtl w:val="0"/>
              </w:rPr>
              <w:t xml:space="preserve"> </w:t>
            </w:r>
            <w:r w:rsidDel="00000000" w:rsidR="00000000" w:rsidRPr="00000000">
              <w:rPr>
                <w:b w:val="0"/>
                <w:bCs w:val="0"/>
                <w:sz w:val="19"/>
                <w:szCs w:val="19"/>
                <w:rtl w:val="0"/>
              </w:rPr>
              <w:t xml:space="preserve">based)</w:t>
            </w:r>
            <w:r w:rsidDel="00000000" w:rsidR="00000000" w:rsidRPr="00000000">
              <w:rPr>
                <w:rtl w:val="0"/>
              </w:rPr>
            </w:r>
          </w:p>
        </w:tc>
        <w:tc>
          <w:tcPr>
            <w:shd w:fill="e8eef3" w:val="clear"/>
            <w:tcMar>
              <w:top w:w="80.0" w:type="dxa"/>
              <w:left w:w="100.0" w:type="dxa"/>
              <w:bottom w:w="80.0" w:type="dxa"/>
              <w:right w:w="100.0" w:type="dxa"/>
            </w:tcMar>
            <w:vAlign w:val="center"/>
          </w:tcPr>
          <w:p w:rsidR="00000000" w:rsidDel="00000000" w:rsidP="00000000" w:rsidRDefault="00000000" w:rsidRPr="00000000" w14:paraId="000000CC">
            <w:pPr>
              <w:jc w:val="left"/>
              <w:rPr/>
            </w:pPr>
            <w:r w:rsidDel="00000000" w:rsidR="00000000" w:rsidRPr="00000000">
              <w:rPr>
                <w:b w:val="0"/>
                <w:bCs w:val="0"/>
                <w:sz w:val="19"/>
                <w:szCs w:val="19"/>
                <w:rtl w:val="0"/>
              </w:rPr>
              <w:t xml:space="preserve">Under testing in the USA and Australia</w:t>
            </w:r>
            <w:r w:rsidDel="00000000" w:rsidR="00000000" w:rsidRPr="00000000">
              <w:rPr>
                <w:rtl w:val="0"/>
              </w:rPr>
            </w:r>
          </w:p>
        </w:tc>
        <w:tc>
          <w:tcPr>
            <w:shd w:fill="e8eef3" w:val="clear"/>
            <w:tcMar>
              <w:top w:w="80.0" w:type="dxa"/>
              <w:left w:w="100.0" w:type="dxa"/>
              <w:bottom w:w="80.0" w:type="dxa"/>
              <w:right w:w="100.0" w:type="dxa"/>
            </w:tcMar>
            <w:vAlign w:val="center"/>
          </w:tcPr>
          <w:p w:rsidR="00000000" w:rsidDel="00000000" w:rsidP="00000000" w:rsidRDefault="00000000" w:rsidRPr="00000000" w14:paraId="000000CD">
            <w:pPr>
              <w:jc w:val="left"/>
              <w:rPr/>
            </w:pPr>
            <w:r w:rsidDel="00000000" w:rsidR="00000000" w:rsidRPr="00000000">
              <w:rPr>
                <w:b w:val="0"/>
                <w:bCs w:val="0"/>
                <w:sz w:val="19"/>
                <w:szCs w:val="19"/>
                <w:rtl w:val="0"/>
              </w:rPr>
              <w:t xml:space="preserve">Long life cycle and superior safety from fire</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CE">
            <w:pPr>
              <w:jc w:val="left"/>
              <w:rPr/>
            </w:pPr>
            <w:r w:rsidDel="00000000" w:rsidR="00000000" w:rsidRPr="00000000">
              <w:rPr>
                <w:b w:val="0"/>
                <w:bCs w:val="0"/>
                <w:sz w:val="19"/>
                <w:szCs w:val="19"/>
                <w:rtl w:val="0"/>
              </w:rPr>
              <w:t xml:space="preserve">Solid</w:t>
            </w:r>
            <w:r w:rsidDel="00000000" w:rsidR="00000000" w:rsidRPr="00000000">
              <w:rPr>
                <w:sz w:val="19"/>
                <w:szCs w:val="19"/>
                <w:rtl w:val="0"/>
              </w:rPr>
              <w:t xml:space="preserve"> </w:t>
            </w:r>
            <w:r w:rsidDel="00000000" w:rsidR="00000000" w:rsidRPr="00000000">
              <w:rPr>
                <w:b w:val="0"/>
                <w:bCs w:val="0"/>
                <w:sz w:val="19"/>
                <w:szCs w:val="19"/>
                <w:rtl w:val="0"/>
              </w:rPr>
              <w:t xml:space="preserve">State Batteries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CF">
            <w:pPr>
              <w:jc w:val="left"/>
              <w:rPr/>
            </w:pPr>
            <w:r w:rsidDel="00000000" w:rsidR="00000000" w:rsidRPr="00000000">
              <w:rPr>
                <w:b w:val="0"/>
                <w:bCs w:val="0"/>
                <w:sz w:val="19"/>
                <w:szCs w:val="19"/>
                <w:rtl w:val="0"/>
              </w:rPr>
              <w:t xml:space="preserve">Under R&amp;D</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D0">
            <w:pPr>
              <w:jc w:val="left"/>
              <w:rPr/>
            </w:pPr>
            <w:r w:rsidDel="00000000" w:rsidR="00000000" w:rsidRPr="00000000">
              <w:rPr>
                <w:b w:val="0"/>
                <w:bCs w:val="0"/>
                <w:sz w:val="19"/>
                <w:szCs w:val="19"/>
                <w:rtl w:val="0"/>
              </w:rPr>
              <w:t xml:space="preserve">Overall best performance, but expensive</w:t>
            </w:r>
            <w:r w:rsidDel="00000000" w:rsidR="00000000" w:rsidRPr="00000000">
              <w:rPr>
                <w:rtl w:val="0"/>
              </w:rPr>
            </w:r>
          </w:p>
        </w:tc>
      </w:tr>
    </w:tbl>
    <w:p w:rsidR="00000000" w:rsidDel="00000000" w:rsidP="00000000" w:rsidRDefault="00000000" w:rsidRPr="00000000" w14:paraId="000000D1">
      <w:pPr>
        <w:spacing w:after="120" w:lineRule="auto"/>
        <w:rPr/>
      </w:pPr>
      <w:r w:rsidDel="00000000" w:rsidR="00000000" w:rsidRPr="00000000">
        <w:rPr>
          <w:rtl w:val="0"/>
        </w:rPr>
      </w:r>
    </w:p>
    <w:p w:rsidR="00000000" w:rsidDel="00000000" w:rsidP="00000000" w:rsidRDefault="00000000" w:rsidRPr="00000000" w14:paraId="000000D2">
      <w:pPr>
        <w:pStyle w:val="Heading3"/>
        <w:spacing w:after="80" w:before="160" w:lineRule="auto"/>
        <w:jc w:val="both"/>
        <w:rPr>
          <w:color w:val="000000"/>
        </w:rPr>
      </w:pPr>
      <w:r w:rsidDel="00000000" w:rsidR="00000000" w:rsidRPr="00000000">
        <w:rPr>
          <w:b w:val="1"/>
          <w:bCs w:val="1"/>
          <w:color w:val="000000"/>
          <w:sz w:val="22"/>
          <w:szCs w:val="22"/>
          <w:rtl w:val="0"/>
        </w:rPr>
        <w:t xml:space="preserve">Manufacturing Scalability</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Global manufacturing of Li-ion batteries (LFP/NMC) is well</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established, with the Gigafactory models introduced by companies like CATL, BYD, and LG Energy.</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India's battery manufacturing sector is currently in its developing stages. While the PLI scheme for ACCs has identified four key players Reliance, Ola, Rajesh Exports, and Hyundai-Amara Raja to establish 50 GWh of cell manufacturing capacity, commercial production is not anticipated to begin until 2026.</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Commercial</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scale manufacturing of sodium</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ion and flow batteries is currently limited to laboratory or pilot projects. At present, a complete, commercial</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grade production line for these technologies is not yet operational within India.</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0" w:line="240" w:lineRule="auto"/>
        <w:ind w:right="0"/>
        <w:jc w:val="both"/>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0" w:line="240" w:lineRule="auto"/>
        <w:ind w:right="0"/>
        <w:jc w:val="both"/>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0" w:line="240" w:lineRule="auto"/>
        <w:ind w:right="0"/>
        <w:jc w:val="both"/>
        <w:rPr/>
      </w:pPr>
      <w:r w:rsidDel="00000000" w:rsidR="00000000" w:rsidRPr="00000000">
        <w:rPr>
          <w:rtl w:val="0"/>
        </w:rPr>
      </w:r>
    </w:p>
    <w:p w:rsidR="00000000" w:rsidDel="00000000" w:rsidP="00000000" w:rsidRDefault="00000000" w:rsidRPr="00000000" w14:paraId="000000D9">
      <w:pPr>
        <w:pStyle w:val="Heading3"/>
        <w:spacing w:after="80" w:before="160" w:lineRule="auto"/>
        <w:jc w:val="both"/>
        <w:rPr>
          <w:color w:val="000000"/>
        </w:rPr>
      </w:pPr>
      <w:r w:rsidDel="00000000" w:rsidR="00000000" w:rsidRPr="00000000">
        <w:rPr>
          <w:b w:val="1"/>
          <w:bCs w:val="1"/>
          <w:color w:val="000000"/>
          <w:sz w:val="22"/>
          <w:szCs w:val="22"/>
          <w:rtl w:val="0"/>
        </w:rPr>
        <w:t xml:space="preserve">Recyclability &amp; Second-Life Batteries</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India is advancing its recycling of electric vehicles and other Li</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ion batteries through hydrometallurgy, spearheaded by companies such as Lohum and Attero. This process recovers critical metals, fostering environmental sustainability, a circular economy, and resource security.</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Second-life battery applications, such as those derived from decommissioned electric vehicles, are gaining traction in stationary energy storage for uses like telecom towers and rural microgrids. Nevertheless, several challenges persist: performance degradation varies with initial usage conditions; legal and safety regulations governing battery reuse are still in their formative stages; and economic viability is contingent upon the costs of retesting and repackaging.</w:t>
      </w:r>
      <w:r w:rsidDel="00000000" w:rsidR="00000000" w:rsidRPr="00000000">
        <w:rPr>
          <w:rtl w:val="0"/>
        </w:rPr>
      </w:r>
    </w:p>
    <w:p w:rsidR="00000000" w:rsidDel="00000000" w:rsidP="00000000" w:rsidRDefault="00000000" w:rsidRPr="00000000" w14:paraId="000000DC">
      <w:pPr>
        <w:spacing w:after="40" w:before="200" w:lineRule="auto"/>
        <w:jc w:val="both"/>
        <w:rPr/>
      </w:pPr>
      <w:r w:rsidDel="00000000" w:rsidR="00000000" w:rsidRPr="00000000">
        <w:rPr>
          <w:rtl w:val="0"/>
        </w:rPr>
      </w:r>
    </w:p>
    <w:p w:rsidR="00000000" w:rsidDel="00000000" w:rsidP="00000000" w:rsidRDefault="00000000" w:rsidRPr="00000000" w14:paraId="000000DD">
      <w:pPr>
        <w:pStyle w:val="Heading1"/>
        <w:pBdr>
          <w:bottom w:color="2e8b57" w:space="6" w:sz="8" w:val="single"/>
        </w:pBdr>
        <w:spacing w:after="200" w:before="0" w:lineRule="auto"/>
        <w:jc w:val="both"/>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1"/>
        <w:pBdr>
          <w:bottom w:color="2e8b57" w:space="6" w:sz="8" w:val="single"/>
        </w:pBdr>
        <w:spacing w:after="200" w:before="0" w:lineRule="auto"/>
        <w:rPr>
          <w:color w:val="000000"/>
        </w:rPr>
      </w:pPr>
      <w:r w:rsidDel="00000000" w:rsidR="00000000" w:rsidRPr="00000000">
        <w:rPr>
          <w:b w:val="1"/>
          <w:bCs w:val="1"/>
          <w:color w:val="000000"/>
          <w:sz w:val="32"/>
          <w:szCs w:val="32"/>
          <w:rtl w:val="0"/>
        </w:rPr>
        <w:t xml:space="preserve">Financial Overview</w:t>
      </w:r>
      <w:r w:rsidDel="00000000" w:rsidR="00000000" w:rsidRPr="00000000">
        <w:rPr>
          <w:rtl w:val="0"/>
        </w:rPr>
      </w:r>
    </w:p>
    <w:p w:rsidR="00000000" w:rsidDel="00000000" w:rsidP="00000000" w:rsidRDefault="00000000" w:rsidRPr="00000000" w14:paraId="000000DF">
      <w:pPr>
        <w:pStyle w:val="Heading2"/>
        <w:spacing w:after="120" w:before="240" w:lineRule="auto"/>
        <w:rPr>
          <w:color w:val="000000"/>
        </w:rPr>
      </w:pPr>
      <w:r w:rsidDel="00000000" w:rsidR="00000000" w:rsidRPr="00000000">
        <w:rPr>
          <w:b w:val="1"/>
          <w:bCs w:val="1"/>
          <w:color w:val="000000"/>
          <w:sz w:val="26"/>
          <w:szCs w:val="26"/>
          <w:rtl w:val="0"/>
        </w:rPr>
        <w:t xml:space="preserve">Capital Expenditure (CapEx)</w:t>
      </w:r>
      <w:r w:rsidDel="00000000" w:rsidR="00000000" w:rsidRPr="00000000">
        <w:rPr>
          <w:rtl w:val="0"/>
        </w:rPr>
      </w:r>
    </w:p>
    <w:p w:rsidR="00000000" w:rsidDel="00000000" w:rsidP="00000000" w:rsidRDefault="00000000" w:rsidRPr="00000000" w14:paraId="000000E0">
      <w:pPr>
        <w:spacing w:after="120" w:lineRule="auto"/>
        <w:rPr/>
      </w:pPr>
      <w:r w:rsidDel="00000000" w:rsidR="00000000" w:rsidRPr="00000000">
        <w:rPr>
          <w:i w:val="0"/>
          <w:iCs w:val="0"/>
          <w:sz w:val="21"/>
          <w:szCs w:val="21"/>
          <w:rtl w:val="0"/>
        </w:rPr>
        <w:t xml:space="preserve">Initial cost per MWh installed, broken down by component:</w:t>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450"/>
        <w:gridCol w:w="1500"/>
        <w:gridCol w:w="1600"/>
        <w:gridCol w:w="1500"/>
        <w:gridCol w:w="1800"/>
        <w:tblGridChange w:id="0">
          <w:tblGrid>
            <w:gridCol w:w="500"/>
            <w:gridCol w:w="2450"/>
            <w:gridCol w:w="1500"/>
            <w:gridCol w:w="1600"/>
            <w:gridCol w:w="1500"/>
            <w:gridCol w:w="1800"/>
          </w:tblGrid>
        </w:tblGridChange>
      </w:tblGrid>
      <w:tr>
        <w:trPr>
          <w:cantSplit w:val="0"/>
          <w:tblHeader w:val="0"/>
        </w:trPr>
        <w:tc>
          <w:tcPr>
            <w:shd w:fill="1b3a57" w:val="clear"/>
            <w:tcMar>
              <w:top w:w="80.0" w:type="dxa"/>
              <w:left w:w="100.0" w:type="dxa"/>
              <w:bottom w:w="80.0" w:type="dxa"/>
              <w:right w:w="100.0" w:type="dxa"/>
            </w:tcMar>
            <w:vAlign w:val="center"/>
          </w:tcPr>
          <w:p w:rsidR="00000000" w:rsidDel="00000000" w:rsidP="00000000" w:rsidRDefault="00000000" w:rsidRPr="00000000" w14:paraId="000000E1">
            <w:pPr>
              <w:jc w:val="center"/>
              <w:rPr/>
            </w:pPr>
            <w:r w:rsidDel="00000000" w:rsidR="00000000" w:rsidRPr="00000000">
              <w:rPr>
                <w:b w:val="1"/>
                <w:bCs w:val="1"/>
                <w:sz w:val="17"/>
                <w:szCs w:val="17"/>
                <w:rtl w:val="0"/>
              </w:rPr>
              <w:t xml:space="preserve">No.</w:t>
            </w:r>
            <w:r w:rsidDel="00000000" w:rsidR="00000000" w:rsidRPr="00000000">
              <w:rPr>
                <w:rtl w:val="0"/>
              </w:rPr>
            </w:r>
          </w:p>
        </w:tc>
        <w:tc>
          <w:tcPr>
            <w:shd w:fill="1b3a57" w:val="clear"/>
            <w:tcMar>
              <w:top w:w="80.0" w:type="dxa"/>
              <w:left w:w="100.0" w:type="dxa"/>
              <w:bottom w:w="80.0" w:type="dxa"/>
              <w:right w:w="100.0" w:type="dxa"/>
            </w:tcMar>
            <w:vAlign w:val="center"/>
          </w:tcPr>
          <w:p w:rsidR="00000000" w:rsidDel="00000000" w:rsidP="00000000" w:rsidRDefault="00000000" w:rsidRPr="00000000" w14:paraId="000000E2">
            <w:pPr>
              <w:jc w:val="left"/>
              <w:rPr/>
            </w:pPr>
            <w:r w:rsidDel="00000000" w:rsidR="00000000" w:rsidRPr="00000000">
              <w:rPr>
                <w:b w:val="1"/>
                <w:bCs w:val="1"/>
                <w:sz w:val="17"/>
                <w:szCs w:val="17"/>
                <w:rtl w:val="0"/>
              </w:rPr>
              <w:t xml:space="preserve">Cost Component</w:t>
            </w:r>
            <w:r w:rsidDel="00000000" w:rsidR="00000000" w:rsidRPr="00000000">
              <w:rPr>
                <w:rtl w:val="0"/>
              </w:rPr>
            </w:r>
          </w:p>
        </w:tc>
        <w:tc>
          <w:tcPr>
            <w:shd w:fill="1b3a57" w:val="clear"/>
            <w:tcMar>
              <w:top w:w="80.0" w:type="dxa"/>
              <w:left w:w="100.0" w:type="dxa"/>
              <w:bottom w:w="80.0" w:type="dxa"/>
              <w:right w:w="100.0" w:type="dxa"/>
            </w:tcMar>
            <w:vAlign w:val="center"/>
          </w:tcPr>
          <w:p w:rsidR="00000000" w:rsidDel="00000000" w:rsidP="00000000" w:rsidRDefault="00000000" w:rsidRPr="00000000" w14:paraId="000000E3">
            <w:pPr>
              <w:jc w:val="left"/>
              <w:rPr/>
            </w:pPr>
            <w:r w:rsidDel="00000000" w:rsidR="00000000" w:rsidRPr="00000000">
              <w:rPr>
                <w:b w:val="1"/>
                <w:bCs w:val="1"/>
                <w:sz w:val="17"/>
                <w:szCs w:val="17"/>
                <w:rtl w:val="0"/>
              </w:rPr>
              <w:t xml:space="preserve">% of TotalCapEx (2025)</w:t>
            </w:r>
            <w:r w:rsidDel="00000000" w:rsidR="00000000" w:rsidRPr="00000000">
              <w:rPr>
                <w:rtl w:val="0"/>
              </w:rPr>
            </w:r>
          </w:p>
        </w:tc>
        <w:tc>
          <w:tcPr>
            <w:shd w:fill="1b3a57" w:val="clear"/>
            <w:tcMar>
              <w:top w:w="80.0" w:type="dxa"/>
              <w:left w:w="100.0" w:type="dxa"/>
              <w:bottom w:w="80.0" w:type="dxa"/>
              <w:right w:w="100.0" w:type="dxa"/>
            </w:tcMar>
            <w:vAlign w:val="center"/>
          </w:tcPr>
          <w:p w:rsidR="00000000" w:rsidDel="00000000" w:rsidP="00000000" w:rsidRDefault="00000000" w:rsidRPr="00000000" w14:paraId="000000E4">
            <w:pPr>
              <w:jc w:val="left"/>
              <w:rPr/>
            </w:pPr>
            <w:r w:rsidDel="00000000" w:rsidR="00000000" w:rsidRPr="00000000">
              <w:rPr>
                <w:b w:val="1"/>
                <w:bCs w:val="1"/>
                <w:sz w:val="17"/>
                <w:szCs w:val="17"/>
                <w:rtl w:val="0"/>
              </w:rPr>
              <w:t xml:space="preserve">2025 Cost(₹/kWh)</w:t>
            </w:r>
            <w:r w:rsidDel="00000000" w:rsidR="00000000" w:rsidRPr="00000000">
              <w:rPr>
                <w:rtl w:val="0"/>
              </w:rPr>
            </w:r>
          </w:p>
        </w:tc>
        <w:tc>
          <w:tcPr>
            <w:shd w:fill="1b3a57" w:val="clear"/>
            <w:tcMar>
              <w:top w:w="80.0" w:type="dxa"/>
              <w:left w:w="100.0" w:type="dxa"/>
              <w:bottom w:w="80.0" w:type="dxa"/>
              <w:right w:w="100.0" w:type="dxa"/>
            </w:tcMar>
            <w:vAlign w:val="center"/>
          </w:tcPr>
          <w:p w:rsidR="00000000" w:rsidDel="00000000" w:rsidP="00000000" w:rsidRDefault="00000000" w:rsidRPr="00000000" w14:paraId="000000E5">
            <w:pPr>
              <w:jc w:val="left"/>
              <w:rPr/>
            </w:pPr>
            <w:r w:rsidDel="00000000" w:rsidR="00000000" w:rsidRPr="00000000">
              <w:rPr>
                <w:b w:val="1"/>
                <w:bCs w:val="1"/>
                <w:sz w:val="17"/>
                <w:szCs w:val="17"/>
                <w:rtl w:val="0"/>
              </w:rPr>
              <w:t xml:space="preserve">% of TotalCapEx (2020)</w:t>
            </w:r>
            <w:r w:rsidDel="00000000" w:rsidR="00000000" w:rsidRPr="00000000">
              <w:rPr>
                <w:rtl w:val="0"/>
              </w:rPr>
            </w:r>
          </w:p>
        </w:tc>
        <w:tc>
          <w:tcPr>
            <w:shd w:fill="1b3a57" w:val="clear"/>
            <w:tcMar>
              <w:top w:w="80.0" w:type="dxa"/>
              <w:left w:w="100.0" w:type="dxa"/>
              <w:bottom w:w="80.0" w:type="dxa"/>
              <w:right w:w="100.0" w:type="dxa"/>
            </w:tcMar>
            <w:vAlign w:val="center"/>
          </w:tcPr>
          <w:p w:rsidR="00000000" w:rsidDel="00000000" w:rsidP="00000000" w:rsidRDefault="00000000" w:rsidRPr="00000000" w14:paraId="000000E6">
            <w:pPr>
              <w:jc w:val="left"/>
              <w:rPr/>
            </w:pPr>
            <w:r w:rsidDel="00000000" w:rsidR="00000000" w:rsidRPr="00000000">
              <w:rPr>
                <w:b w:val="1"/>
                <w:bCs w:val="1"/>
                <w:sz w:val="17"/>
                <w:szCs w:val="17"/>
                <w:rtl w:val="0"/>
              </w:rPr>
              <w:t xml:space="preserve">2020 Cost(₹/kWh)</w:t>
            </w:r>
            <w:r w:rsidDel="00000000" w:rsidR="00000000" w:rsidRPr="00000000">
              <w:rPr>
                <w:rtl w:val="0"/>
              </w:rPr>
            </w:r>
          </w:p>
        </w:tc>
      </w:tr>
      <w:tr>
        <w:trPr>
          <w:cantSplit w:val="0"/>
          <w:tblHeader w:val="0"/>
        </w:trPr>
        <w:tc>
          <w:tcPr>
            <w:shd w:fill="e8eef3" w:val="clear"/>
            <w:tcMar>
              <w:top w:w="80.0" w:type="dxa"/>
              <w:left w:w="100.0" w:type="dxa"/>
              <w:bottom w:w="80.0" w:type="dxa"/>
              <w:right w:w="100.0" w:type="dxa"/>
            </w:tcMar>
            <w:vAlign w:val="center"/>
          </w:tcPr>
          <w:p w:rsidR="00000000" w:rsidDel="00000000" w:rsidP="00000000" w:rsidRDefault="00000000" w:rsidRPr="00000000" w14:paraId="000000E7">
            <w:pPr>
              <w:jc w:val="center"/>
              <w:rPr/>
            </w:pPr>
            <w:r w:rsidDel="00000000" w:rsidR="00000000" w:rsidRPr="00000000">
              <w:rPr>
                <w:b w:val="0"/>
                <w:bCs w:val="0"/>
                <w:sz w:val="18"/>
                <w:szCs w:val="18"/>
                <w:rtl w:val="0"/>
              </w:rPr>
              <w:t xml:space="preserve">1</w:t>
            </w:r>
            <w:r w:rsidDel="00000000" w:rsidR="00000000" w:rsidRPr="00000000">
              <w:rPr>
                <w:rtl w:val="0"/>
              </w:rPr>
            </w:r>
          </w:p>
        </w:tc>
        <w:tc>
          <w:tcPr>
            <w:shd w:fill="e8eef3" w:val="clear"/>
            <w:tcMar>
              <w:top w:w="80.0" w:type="dxa"/>
              <w:left w:w="100.0" w:type="dxa"/>
              <w:bottom w:w="80.0" w:type="dxa"/>
              <w:right w:w="100.0" w:type="dxa"/>
            </w:tcMar>
            <w:vAlign w:val="center"/>
          </w:tcPr>
          <w:p w:rsidR="00000000" w:rsidDel="00000000" w:rsidP="00000000" w:rsidRDefault="00000000" w:rsidRPr="00000000" w14:paraId="000000E8">
            <w:pPr>
              <w:jc w:val="left"/>
              <w:rPr/>
            </w:pPr>
            <w:r w:rsidDel="00000000" w:rsidR="00000000" w:rsidRPr="00000000">
              <w:rPr>
                <w:b w:val="0"/>
                <w:bCs w:val="0"/>
                <w:sz w:val="18"/>
                <w:szCs w:val="18"/>
                <w:rtl w:val="0"/>
              </w:rPr>
              <w:t xml:space="preserve">Battery Pack</w:t>
            </w:r>
            <w:r w:rsidDel="00000000" w:rsidR="00000000" w:rsidRPr="00000000">
              <w:rPr>
                <w:rtl w:val="0"/>
              </w:rPr>
            </w:r>
          </w:p>
        </w:tc>
        <w:tc>
          <w:tcPr>
            <w:shd w:fill="e8eef3" w:val="clear"/>
            <w:tcMar>
              <w:top w:w="80.0" w:type="dxa"/>
              <w:left w:w="100.0" w:type="dxa"/>
              <w:bottom w:w="80.0" w:type="dxa"/>
              <w:right w:w="100.0" w:type="dxa"/>
            </w:tcMar>
            <w:vAlign w:val="center"/>
          </w:tcPr>
          <w:p w:rsidR="00000000" w:rsidDel="00000000" w:rsidP="00000000" w:rsidRDefault="00000000" w:rsidRPr="00000000" w14:paraId="000000E9">
            <w:pPr>
              <w:jc w:val="left"/>
              <w:rPr/>
            </w:pPr>
            <w:r w:rsidDel="00000000" w:rsidR="00000000" w:rsidRPr="00000000">
              <w:rPr>
                <w:b w:val="0"/>
                <w:bCs w:val="0"/>
                <w:sz w:val="18"/>
                <w:szCs w:val="18"/>
                <w:rtl w:val="0"/>
              </w:rPr>
              <w:t xml:space="preserve">40-45%</w:t>
            </w:r>
            <w:r w:rsidDel="00000000" w:rsidR="00000000" w:rsidRPr="00000000">
              <w:rPr>
                <w:rtl w:val="0"/>
              </w:rPr>
            </w:r>
          </w:p>
        </w:tc>
        <w:tc>
          <w:tcPr>
            <w:shd w:fill="e8eef3" w:val="clear"/>
            <w:tcMar>
              <w:top w:w="80.0" w:type="dxa"/>
              <w:left w:w="100.0" w:type="dxa"/>
              <w:bottom w:w="80.0" w:type="dxa"/>
              <w:right w:w="100.0" w:type="dxa"/>
            </w:tcMar>
            <w:vAlign w:val="center"/>
          </w:tcPr>
          <w:p w:rsidR="00000000" w:rsidDel="00000000" w:rsidP="00000000" w:rsidRDefault="00000000" w:rsidRPr="00000000" w14:paraId="000000EA">
            <w:pPr>
              <w:jc w:val="left"/>
              <w:rPr/>
            </w:pPr>
            <w:r w:rsidDel="00000000" w:rsidR="00000000" w:rsidRPr="00000000">
              <w:rPr>
                <w:b w:val="0"/>
                <w:bCs w:val="0"/>
                <w:sz w:val="18"/>
                <w:szCs w:val="18"/>
                <w:rtl w:val="0"/>
              </w:rPr>
              <w:t xml:space="preserve">9,500-13,000</w:t>
            </w:r>
            <w:r w:rsidDel="00000000" w:rsidR="00000000" w:rsidRPr="00000000">
              <w:rPr>
                <w:rtl w:val="0"/>
              </w:rPr>
            </w:r>
          </w:p>
        </w:tc>
        <w:tc>
          <w:tcPr>
            <w:shd w:fill="e8eef3" w:val="clear"/>
            <w:tcMar>
              <w:top w:w="80.0" w:type="dxa"/>
              <w:left w:w="100.0" w:type="dxa"/>
              <w:bottom w:w="80.0" w:type="dxa"/>
              <w:right w:w="100.0" w:type="dxa"/>
            </w:tcMar>
            <w:vAlign w:val="center"/>
          </w:tcPr>
          <w:p w:rsidR="00000000" w:rsidDel="00000000" w:rsidP="00000000" w:rsidRDefault="00000000" w:rsidRPr="00000000" w14:paraId="000000EB">
            <w:pPr>
              <w:jc w:val="left"/>
              <w:rPr/>
            </w:pPr>
            <w:r w:rsidDel="00000000" w:rsidR="00000000" w:rsidRPr="00000000">
              <w:rPr>
                <w:b w:val="0"/>
                <w:bCs w:val="0"/>
                <w:sz w:val="18"/>
                <w:szCs w:val="18"/>
                <w:rtl w:val="0"/>
              </w:rPr>
              <w:t xml:space="preserve">50-55%</w:t>
            </w:r>
            <w:r w:rsidDel="00000000" w:rsidR="00000000" w:rsidRPr="00000000">
              <w:rPr>
                <w:rtl w:val="0"/>
              </w:rPr>
            </w:r>
          </w:p>
        </w:tc>
        <w:tc>
          <w:tcPr>
            <w:shd w:fill="e8eef3" w:val="clear"/>
            <w:tcMar>
              <w:top w:w="80.0" w:type="dxa"/>
              <w:left w:w="100.0" w:type="dxa"/>
              <w:bottom w:w="80.0" w:type="dxa"/>
              <w:right w:w="100.0" w:type="dxa"/>
            </w:tcMar>
            <w:vAlign w:val="center"/>
          </w:tcPr>
          <w:p w:rsidR="00000000" w:rsidDel="00000000" w:rsidP="00000000" w:rsidRDefault="00000000" w:rsidRPr="00000000" w14:paraId="000000EC">
            <w:pPr>
              <w:jc w:val="left"/>
              <w:rPr/>
            </w:pPr>
            <w:r w:rsidDel="00000000" w:rsidR="00000000" w:rsidRPr="00000000">
              <w:rPr>
                <w:b w:val="0"/>
                <w:bCs w:val="0"/>
                <w:sz w:val="18"/>
                <w:szCs w:val="18"/>
                <w:rtl w:val="0"/>
              </w:rPr>
              <w:t xml:space="preserve">17,500-21,000</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ED">
            <w:pPr>
              <w:jc w:val="center"/>
              <w:rPr/>
            </w:pPr>
            <w:r w:rsidDel="00000000" w:rsidR="00000000" w:rsidRPr="00000000">
              <w:rPr>
                <w:b w:val="0"/>
                <w:bCs w:val="0"/>
                <w:sz w:val="18"/>
                <w:szCs w:val="18"/>
                <w:rtl w:val="0"/>
              </w:rPr>
              <w:t xml:space="preserve">2</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EE">
            <w:pPr>
              <w:jc w:val="left"/>
              <w:rPr/>
            </w:pPr>
            <w:r w:rsidDel="00000000" w:rsidR="00000000" w:rsidRPr="00000000">
              <w:rPr>
                <w:b w:val="0"/>
                <w:bCs w:val="0"/>
                <w:sz w:val="18"/>
                <w:szCs w:val="18"/>
                <w:rtl w:val="0"/>
              </w:rPr>
              <w:t xml:space="preserve">Power Conversion</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EF">
            <w:pPr>
              <w:jc w:val="left"/>
              <w:rPr/>
            </w:pPr>
            <w:r w:rsidDel="00000000" w:rsidR="00000000" w:rsidRPr="00000000">
              <w:rPr>
                <w:b w:val="0"/>
                <w:bCs w:val="0"/>
                <w:sz w:val="18"/>
                <w:szCs w:val="18"/>
                <w:rtl w:val="0"/>
              </w:rPr>
              <w:t xml:space="preserve">15-18%</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F0">
            <w:pPr>
              <w:jc w:val="left"/>
              <w:rPr/>
            </w:pPr>
            <w:r w:rsidDel="00000000" w:rsidR="00000000" w:rsidRPr="00000000">
              <w:rPr>
                <w:b w:val="0"/>
                <w:bCs w:val="0"/>
                <w:sz w:val="18"/>
                <w:szCs w:val="18"/>
                <w:rtl w:val="0"/>
              </w:rPr>
              <w:t xml:space="preserve">4,200-5,800</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F1">
            <w:pPr>
              <w:jc w:val="left"/>
              <w:rPr/>
            </w:pPr>
            <w:r w:rsidDel="00000000" w:rsidR="00000000" w:rsidRPr="00000000">
              <w:rPr>
                <w:b w:val="0"/>
                <w:bCs w:val="0"/>
                <w:sz w:val="18"/>
                <w:szCs w:val="18"/>
                <w:rtl w:val="0"/>
              </w:rPr>
              <w:t xml:space="preserve">15-18%</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F2">
            <w:pPr>
              <w:jc w:val="left"/>
              <w:rPr/>
            </w:pPr>
            <w:r w:rsidDel="00000000" w:rsidR="00000000" w:rsidRPr="00000000">
              <w:rPr>
                <w:b w:val="0"/>
                <w:bCs w:val="0"/>
                <w:sz w:val="18"/>
                <w:szCs w:val="18"/>
                <w:rtl w:val="0"/>
              </w:rPr>
              <w:t xml:space="preserve">6,000-7,500</w:t>
            </w:r>
            <w:r w:rsidDel="00000000" w:rsidR="00000000" w:rsidRPr="00000000">
              <w:rPr>
                <w:rtl w:val="0"/>
              </w:rPr>
            </w:r>
          </w:p>
        </w:tc>
      </w:tr>
      <w:tr>
        <w:trPr>
          <w:cantSplit w:val="0"/>
          <w:tblHeader w:val="0"/>
        </w:trPr>
        <w:tc>
          <w:tcPr>
            <w:shd w:fill="e8eef3" w:val="clear"/>
            <w:tcMar>
              <w:top w:w="80.0" w:type="dxa"/>
              <w:left w:w="100.0" w:type="dxa"/>
              <w:bottom w:w="80.0" w:type="dxa"/>
              <w:right w:w="100.0" w:type="dxa"/>
            </w:tcMar>
            <w:vAlign w:val="center"/>
          </w:tcPr>
          <w:p w:rsidR="00000000" w:rsidDel="00000000" w:rsidP="00000000" w:rsidRDefault="00000000" w:rsidRPr="00000000" w14:paraId="000000F3">
            <w:pPr>
              <w:jc w:val="center"/>
              <w:rPr/>
            </w:pPr>
            <w:r w:rsidDel="00000000" w:rsidR="00000000" w:rsidRPr="00000000">
              <w:rPr>
                <w:b w:val="0"/>
                <w:bCs w:val="0"/>
                <w:sz w:val="18"/>
                <w:szCs w:val="18"/>
                <w:rtl w:val="0"/>
              </w:rPr>
              <w:t xml:space="preserve">3</w:t>
            </w:r>
            <w:r w:rsidDel="00000000" w:rsidR="00000000" w:rsidRPr="00000000">
              <w:rPr>
                <w:rtl w:val="0"/>
              </w:rPr>
            </w:r>
          </w:p>
        </w:tc>
        <w:tc>
          <w:tcPr>
            <w:shd w:fill="e8eef3" w:val="clear"/>
            <w:tcMar>
              <w:top w:w="80.0" w:type="dxa"/>
              <w:left w:w="100.0" w:type="dxa"/>
              <w:bottom w:w="80.0" w:type="dxa"/>
              <w:right w:w="100.0" w:type="dxa"/>
            </w:tcMar>
            <w:vAlign w:val="center"/>
          </w:tcPr>
          <w:p w:rsidR="00000000" w:rsidDel="00000000" w:rsidP="00000000" w:rsidRDefault="00000000" w:rsidRPr="00000000" w14:paraId="000000F4">
            <w:pPr>
              <w:jc w:val="left"/>
              <w:rPr/>
            </w:pPr>
            <w:r w:rsidDel="00000000" w:rsidR="00000000" w:rsidRPr="00000000">
              <w:rPr>
                <w:b w:val="0"/>
                <w:bCs w:val="0"/>
                <w:sz w:val="18"/>
                <w:szCs w:val="18"/>
                <w:rtl w:val="0"/>
              </w:rPr>
              <w:t xml:space="preserve">Balance of System</w:t>
            </w:r>
            <w:r w:rsidDel="00000000" w:rsidR="00000000" w:rsidRPr="00000000">
              <w:rPr>
                <w:rtl w:val="0"/>
              </w:rPr>
            </w:r>
          </w:p>
        </w:tc>
        <w:tc>
          <w:tcPr>
            <w:shd w:fill="e8eef3" w:val="clear"/>
            <w:tcMar>
              <w:top w:w="80.0" w:type="dxa"/>
              <w:left w:w="100.0" w:type="dxa"/>
              <w:bottom w:w="80.0" w:type="dxa"/>
              <w:right w:w="100.0" w:type="dxa"/>
            </w:tcMar>
            <w:vAlign w:val="center"/>
          </w:tcPr>
          <w:p w:rsidR="00000000" w:rsidDel="00000000" w:rsidP="00000000" w:rsidRDefault="00000000" w:rsidRPr="00000000" w14:paraId="000000F5">
            <w:pPr>
              <w:jc w:val="left"/>
              <w:rPr/>
            </w:pPr>
            <w:r w:rsidDel="00000000" w:rsidR="00000000" w:rsidRPr="00000000">
              <w:rPr>
                <w:b w:val="0"/>
                <w:bCs w:val="0"/>
                <w:sz w:val="18"/>
                <w:szCs w:val="18"/>
                <w:rtl w:val="0"/>
              </w:rPr>
              <w:t xml:space="preserve">8-10%</w:t>
            </w:r>
            <w:r w:rsidDel="00000000" w:rsidR="00000000" w:rsidRPr="00000000">
              <w:rPr>
                <w:rtl w:val="0"/>
              </w:rPr>
            </w:r>
          </w:p>
        </w:tc>
        <w:tc>
          <w:tcPr>
            <w:shd w:fill="e8eef3" w:val="clear"/>
            <w:tcMar>
              <w:top w:w="80.0" w:type="dxa"/>
              <w:left w:w="100.0" w:type="dxa"/>
              <w:bottom w:w="80.0" w:type="dxa"/>
              <w:right w:w="100.0" w:type="dxa"/>
            </w:tcMar>
            <w:vAlign w:val="center"/>
          </w:tcPr>
          <w:p w:rsidR="00000000" w:rsidDel="00000000" w:rsidP="00000000" w:rsidRDefault="00000000" w:rsidRPr="00000000" w14:paraId="000000F6">
            <w:pPr>
              <w:jc w:val="left"/>
              <w:rPr/>
            </w:pPr>
            <w:r w:rsidDel="00000000" w:rsidR="00000000" w:rsidRPr="00000000">
              <w:rPr>
                <w:b w:val="0"/>
                <w:bCs w:val="0"/>
                <w:sz w:val="18"/>
                <w:szCs w:val="18"/>
                <w:rtl w:val="0"/>
              </w:rPr>
              <w:t xml:space="preserve">2,500-3,500</w:t>
            </w:r>
            <w:r w:rsidDel="00000000" w:rsidR="00000000" w:rsidRPr="00000000">
              <w:rPr>
                <w:rtl w:val="0"/>
              </w:rPr>
            </w:r>
          </w:p>
        </w:tc>
        <w:tc>
          <w:tcPr>
            <w:shd w:fill="e8eef3" w:val="clear"/>
            <w:tcMar>
              <w:top w:w="80.0" w:type="dxa"/>
              <w:left w:w="100.0" w:type="dxa"/>
              <w:bottom w:w="80.0" w:type="dxa"/>
              <w:right w:w="100.0" w:type="dxa"/>
            </w:tcMar>
            <w:vAlign w:val="center"/>
          </w:tcPr>
          <w:p w:rsidR="00000000" w:rsidDel="00000000" w:rsidP="00000000" w:rsidRDefault="00000000" w:rsidRPr="00000000" w14:paraId="000000F7">
            <w:pPr>
              <w:jc w:val="left"/>
              <w:rPr/>
            </w:pPr>
            <w:r w:rsidDel="00000000" w:rsidR="00000000" w:rsidRPr="00000000">
              <w:rPr>
                <w:b w:val="0"/>
                <w:bCs w:val="0"/>
                <w:sz w:val="18"/>
                <w:szCs w:val="18"/>
                <w:rtl w:val="0"/>
              </w:rPr>
              <w:t xml:space="preserve">8-10%</w:t>
            </w:r>
            <w:r w:rsidDel="00000000" w:rsidR="00000000" w:rsidRPr="00000000">
              <w:rPr>
                <w:rtl w:val="0"/>
              </w:rPr>
            </w:r>
          </w:p>
        </w:tc>
        <w:tc>
          <w:tcPr>
            <w:shd w:fill="e8eef3" w:val="clear"/>
            <w:tcMar>
              <w:top w:w="80.0" w:type="dxa"/>
              <w:left w:w="100.0" w:type="dxa"/>
              <w:bottom w:w="80.0" w:type="dxa"/>
              <w:right w:w="100.0" w:type="dxa"/>
            </w:tcMar>
            <w:vAlign w:val="center"/>
          </w:tcPr>
          <w:p w:rsidR="00000000" w:rsidDel="00000000" w:rsidP="00000000" w:rsidRDefault="00000000" w:rsidRPr="00000000" w14:paraId="000000F8">
            <w:pPr>
              <w:jc w:val="left"/>
              <w:rPr/>
            </w:pPr>
            <w:r w:rsidDel="00000000" w:rsidR="00000000" w:rsidRPr="00000000">
              <w:rPr>
                <w:b w:val="0"/>
                <w:bCs w:val="0"/>
                <w:sz w:val="18"/>
                <w:szCs w:val="18"/>
                <w:rtl w:val="0"/>
              </w:rPr>
              <w:t xml:space="preserve">3,000-5,000</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F9">
            <w:pPr>
              <w:jc w:val="center"/>
              <w:rPr/>
            </w:pPr>
            <w:r w:rsidDel="00000000" w:rsidR="00000000" w:rsidRPr="00000000">
              <w:rPr>
                <w:b w:val="0"/>
                <w:bCs w:val="0"/>
                <w:sz w:val="18"/>
                <w:szCs w:val="18"/>
                <w:rtl w:val="0"/>
              </w:rPr>
              <w:t xml:space="preserve">4</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FA">
            <w:pPr>
              <w:jc w:val="left"/>
              <w:rPr/>
            </w:pPr>
            <w:r w:rsidDel="00000000" w:rsidR="00000000" w:rsidRPr="00000000">
              <w:rPr>
                <w:b w:val="0"/>
                <w:bCs w:val="0"/>
                <w:sz w:val="18"/>
                <w:szCs w:val="18"/>
                <w:rtl w:val="0"/>
              </w:rPr>
              <w:t xml:space="preserve">Installation</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FB">
            <w:pPr>
              <w:jc w:val="left"/>
              <w:rPr/>
            </w:pPr>
            <w:r w:rsidDel="00000000" w:rsidR="00000000" w:rsidRPr="00000000">
              <w:rPr>
                <w:b w:val="0"/>
                <w:bCs w:val="0"/>
                <w:sz w:val="18"/>
                <w:szCs w:val="18"/>
                <w:rtl w:val="0"/>
              </w:rPr>
              <w:t xml:space="preserve">12-15%</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FC">
            <w:pPr>
              <w:jc w:val="left"/>
              <w:rPr/>
            </w:pPr>
            <w:r w:rsidDel="00000000" w:rsidR="00000000" w:rsidRPr="00000000">
              <w:rPr>
                <w:b w:val="0"/>
                <w:bCs w:val="0"/>
                <w:sz w:val="18"/>
                <w:szCs w:val="18"/>
                <w:rtl w:val="0"/>
              </w:rPr>
              <w:t xml:space="preserve">3,500-5,000</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FD">
            <w:pPr>
              <w:jc w:val="left"/>
              <w:rPr/>
            </w:pPr>
            <w:r w:rsidDel="00000000" w:rsidR="00000000" w:rsidRPr="00000000">
              <w:rPr>
                <w:b w:val="0"/>
                <w:bCs w:val="0"/>
                <w:sz w:val="18"/>
                <w:szCs w:val="18"/>
                <w:rtl w:val="0"/>
              </w:rPr>
              <w:t xml:space="preserve">12-15%</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FE">
            <w:pPr>
              <w:jc w:val="left"/>
              <w:rPr/>
            </w:pPr>
            <w:r w:rsidDel="00000000" w:rsidR="00000000" w:rsidRPr="00000000">
              <w:rPr>
                <w:b w:val="0"/>
                <w:bCs w:val="0"/>
                <w:sz w:val="18"/>
                <w:szCs w:val="18"/>
                <w:rtl w:val="0"/>
              </w:rPr>
              <w:t xml:space="preserve">4,500-6,000</w:t>
            </w:r>
            <w:r w:rsidDel="00000000" w:rsidR="00000000" w:rsidRPr="00000000">
              <w:rPr>
                <w:rtl w:val="0"/>
              </w:rPr>
            </w:r>
          </w:p>
        </w:tc>
      </w:tr>
      <w:tr>
        <w:trPr>
          <w:cantSplit w:val="0"/>
          <w:tblHeader w:val="0"/>
        </w:trPr>
        <w:tc>
          <w:tcPr>
            <w:shd w:fill="e8eef3" w:val="clear"/>
            <w:tcMar>
              <w:top w:w="80.0" w:type="dxa"/>
              <w:left w:w="100.0" w:type="dxa"/>
              <w:bottom w:w="80.0" w:type="dxa"/>
              <w:right w:w="100.0" w:type="dxa"/>
            </w:tcMar>
            <w:vAlign w:val="center"/>
          </w:tcPr>
          <w:p w:rsidR="00000000" w:rsidDel="00000000" w:rsidP="00000000" w:rsidRDefault="00000000" w:rsidRPr="00000000" w14:paraId="000000FF">
            <w:pPr>
              <w:jc w:val="center"/>
              <w:rPr/>
            </w:pPr>
            <w:r w:rsidDel="00000000" w:rsidR="00000000" w:rsidRPr="00000000">
              <w:rPr>
                <w:b w:val="0"/>
                <w:bCs w:val="0"/>
                <w:sz w:val="18"/>
                <w:szCs w:val="18"/>
                <w:rtl w:val="0"/>
              </w:rPr>
              <w:t xml:space="preserve">5</w:t>
            </w:r>
            <w:r w:rsidDel="00000000" w:rsidR="00000000" w:rsidRPr="00000000">
              <w:rPr>
                <w:rtl w:val="0"/>
              </w:rPr>
            </w:r>
          </w:p>
        </w:tc>
        <w:tc>
          <w:tcPr>
            <w:shd w:fill="e8eef3" w:val="clear"/>
            <w:tcMar>
              <w:top w:w="80.0" w:type="dxa"/>
              <w:left w:w="100.0" w:type="dxa"/>
              <w:bottom w:w="80.0" w:type="dxa"/>
              <w:right w:w="100.0" w:type="dxa"/>
            </w:tcMar>
            <w:vAlign w:val="center"/>
          </w:tcPr>
          <w:p w:rsidR="00000000" w:rsidDel="00000000" w:rsidP="00000000" w:rsidRDefault="00000000" w:rsidRPr="00000000" w14:paraId="00000100">
            <w:pPr>
              <w:jc w:val="left"/>
              <w:rPr/>
            </w:pPr>
            <w:r w:rsidDel="00000000" w:rsidR="00000000" w:rsidRPr="00000000">
              <w:rPr>
                <w:b w:val="0"/>
                <w:bCs w:val="0"/>
                <w:sz w:val="18"/>
                <w:szCs w:val="18"/>
                <w:rtl w:val="0"/>
              </w:rPr>
              <w:t xml:space="preserve">Energy Management Systems</w:t>
            </w:r>
            <w:r w:rsidDel="00000000" w:rsidR="00000000" w:rsidRPr="00000000">
              <w:rPr>
                <w:rtl w:val="0"/>
              </w:rPr>
            </w:r>
          </w:p>
        </w:tc>
        <w:tc>
          <w:tcPr>
            <w:shd w:fill="e8eef3" w:val="clear"/>
            <w:tcMar>
              <w:top w:w="80.0" w:type="dxa"/>
              <w:left w:w="100.0" w:type="dxa"/>
              <w:bottom w:w="80.0" w:type="dxa"/>
              <w:right w:w="100.0" w:type="dxa"/>
            </w:tcMar>
            <w:vAlign w:val="center"/>
          </w:tcPr>
          <w:p w:rsidR="00000000" w:rsidDel="00000000" w:rsidP="00000000" w:rsidRDefault="00000000" w:rsidRPr="00000000" w14:paraId="00000101">
            <w:pPr>
              <w:jc w:val="left"/>
              <w:rPr/>
            </w:pPr>
            <w:r w:rsidDel="00000000" w:rsidR="00000000" w:rsidRPr="00000000">
              <w:rPr>
                <w:b w:val="0"/>
                <w:bCs w:val="0"/>
                <w:sz w:val="18"/>
                <w:szCs w:val="18"/>
                <w:rtl w:val="0"/>
              </w:rPr>
              <w:t xml:space="preserve">2-4%</w:t>
            </w:r>
            <w:r w:rsidDel="00000000" w:rsidR="00000000" w:rsidRPr="00000000">
              <w:rPr>
                <w:rtl w:val="0"/>
              </w:rPr>
            </w:r>
          </w:p>
        </w:tc>
        <w:tc>
          <w:tcPr>
            <w:shd w:fill="e8eef3" w:val="clear"/>
            <w:tcMar>
              <w:top w:w="80.0" w:type="dxa"/>
              <w:left w:w="100.0" w:type="dxa"/>
              <w:bottom w:w="80.0" w:type="dxa"/>
              <w:right w:w="100.0" w:type="dxa"/>
            </w:tcMar>
            <w:vAlign w:val="center"/>
          </w:tcPr>
          <w:p w:rsidR="00000000" w:rsidDel="00000000" w:rsidP="00000000" w:rsidRDefault="00000000" w:rsidRPr="00000000" w14:paraId="00000102">
            <w:pPr>
              <w:jc w:val="left"/>
              <w:rPr/>
            </w:pPr>
            <w:r w:rsidDel="00000000" w:rsidR="00000000" w:rsidRPr="00000000">
              <w:rPr>
                <w:b w:val="0"/>
                <w:bCs w:val="0"/>
                <w:sz w:val="18"/>
                <w:szCs w:val="18"/>
                <w:rtl w:val="0"/>
              </w:rPr>
              <w:t xml:space="preserve">600-1,000</w:t>
            </w:r>
            <w:r w:rsidDel="00000000" w:rsidR="00000000" w:rsidRPr="00000000">
              <w:rPr>
                <w:rtl w:val="0"/>
              </w:rPr>
            </w:r>
          </w:p>
        </w:tc>
        <w:tc>
          <w:tcPr>
            <w:shd w:fill="e8eef3" w:val="clear"/>
            <w:tcMar>
              <w:top w:w="80.0" w:type="dxa"/>
              <w:left w:w="100.0" w:type="dxa"/>
              <w:bottom w:w="80.0" w:type="dxa"/>
              <w:right w:w="100.0" w:type="dxa"/>
            </w:tcMar>
            <w:vAlign w:val="center"/>
          </w:tcPr>
          <w:p w:rsidR="00000000" w:rsidDel="00000000" w:rsidP="00000000" w:rsidRDefault="00000000" w:rsidRPr="00000000" w14:paraId="00000103">
            <w:pPr>
              <w:jc w:val="left"/>
              <w:rPr/>
            </w:pPr>
            <w:r w:rsidDel="00000000" w:rsidR="00000000" w:rsidRPr="00000000">
              <w:rPr>
                <w:b w:val="0"/>
                <w:bCs w:val="0"/>
                <w:sz w:val="18"/>
                <w:szCs w:val="18"/>
                <w:rtl w:val="0"/>
              </w:rPr>
              <w:t xml:space="preserve">2-4%</w:t>
            </w:r>
            <w:r w:rsidDel="00000000" w:rsidR="00000000" w:rsidRPr="00000000">
              <w:rPr>
                <w:rtl w:val="0"/>
              </w:rPr>
            </w:r>
          </w:p>
        </w:tc>
        <w:tc>
          <w:tcPr>
            <w:shd w:fill="e8eef3" w:val="clear"/>
            <w:tcMar>
              <w:top w:w="80.0" w:type="dxa"/>
              <w:left w:w="100.0" w:type="dxa"/>
              <w:bottom w:w="80.0" w:type="dxa"/>
              <w:right w:w="100.0" w:type="dxa"/>
            </w:tcMar>
            <w:vAlign w:val="center"/>
          </w:tcPr>
          <w:p w:rsidR="00000000" w:rsidDel="00000000" w:rsidP="00000000" w:rsidRDefault="00000000" w:rsidRPr="00000000" w14:paraId="00000104">
            <w:pPr>
              <w:jc w:val="left"/>
              <w:rPr/>
            </w:pPr>
            <w:r w:rsidDel="00000000" w:rsidR="00000000" w:rsidRPr="00000000">
              <w:rPr>
                <w:b w:val="0"/>
                <w:bCs w:val="0"/>
                <w:sz w:val="18"/>
                <w:szCs w:val="18"/>
                <w:rtl w:val="0"/>
              </w:rPr>
              <w:t xml:space="preserve">750-1,500</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105">
            <w:pPr>
              <w:jc w:val="center"/>
              <w:rPr/>
            </w:pPr>
            <w:r w:rsidDel="00000000" w:rsidR="00000000" w:rsidRPr="00000000">
              <w:rPr>
                <w:b w:val="0"/>
                <w:bCs w:val="0"/>
                <w:sz w:val="18"/>
                <w:szCs w:val="18"/>
                <w:rtl w:val="0"/>
              </w:rPr>
              <w:t xml:space="preserve">6</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06">
            <w:pPr>
              <w:jc w:val="left"/>
              <w:rPr/>
            </w:pPr>
            <w:r w:rsidDel="00000000" w:rsidR="00000000" w:rsidRPr="00000000">
              <w:rPr>
                <w:b w:val="0"/>
                <w:bCs w:val="0"/>
                <w:sz w:val="18"/>
                <w:szCs w:val="18"/>
                <w:rtl w:val="0"/>
              </w:rPr>
              <w:t xml:space="preserve">Site Preparation</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07">
            <w:pPr>
              <w:jc w:val="left"/>
              <w:rPr/>
            </w:pPr>
            <w:r w:rsidDel="00000000" w:rsidR="00000000" w:rsidRPr="00000000">
              <w:rPr>
                <w:b w:val="0"/>
                <w:bCs w:val="0"/>
                <w:sz w:val="18"/>
                <w:szCs w:val="18"/>
                <w:rtl w:val="0"/>
              </w:rPr>
              <w:t xml:space="preserve">5-6%</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08">
            <w:pPr>
              <w:jc w:val="left"/>
              <w:rPr/>
            </w:pPr>
            <w:r w:rsidDel="00000000" w:rsidR="00000000" w:rsidRPr="00000000">
              <w:rPr>
                <w:b w:val="0"/>
                <w:bCs w:val="0"/>
                <w:sz w:val="18"/>
                <w:szCs w:val="18"/>
                <w:rtl w:val="0"/>
              </w:rPr>
              <w:t xml:space="preserve">1,200-1,700</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09">
            <w:pPr>
              <w:jc w:val="left"/>
              <w:rPr/>
            </w:pPr>
            <w:r w:rsidDel="00000000" w:rsidR="00000000" w:rsidRPr="00000000">
              <w:rPr>
                <w:b w:val="0"/>
                <w:bCs w:val="0"/>
                <w:sz w:val="18"/>
                <w:szCs w:val="18"/>
                <w:rtl w:val="0"/>
              </w:rPr>
              <w:t xml:space="preserve">5-6%</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0A">
            <w:pPr>
              <w:jc w:val="left"/>
              <w:rPr/>
            </w:pPr>
            <w:r w:rsidDel="00000000" w:rsidR="00000000" w:rsidRPr="00000000">
              <w:rPr>
                <w:b w:val="0"/>
                <w:bCs w:val="0"/>
                <w:sz w:val="18"/>
                <w:szCs w:val="18"/>
                <w:rtl w:val="0"/>
              </w:rPr>
              <w:t xml:space="preserve">1,500-2,500</w:t>
            </w:r>
            <w:r w:rsidDel="00000000" w:rsidR="00000000" w:rsidRPr="00000000">
              <w:rPr>
                <w:rtl w:val="0"/>
              </w:rPr>
            </w:r>
          </w:p>
        </w:tc>
      </w:tr>
      <w:tr>
        <w:trPr>
          <w:cantSplit w:val="0"/>
          <w:tblHeader w:val="0"/>
        </w:trPr>
        <w:tc>
          <w:tcPr>
            <w:shd w:fill="e8eef3" w:val="clear"/>
            <w:tcMar>
              <w:top w:w="80.0" w:type="dxa"/>
              <w:left w:w="100.0" w:type="dxa"/>
              <w:bottom w:w="80.0" w:type="dxa"/>
              <w:right w:w="100.0" w:type="dxa"/>
            </w:tcMar>
            <w:vAlign w:val="center"/>
          </w:tcPr>
          <w:p w:rsidR="00000000" w:rsidDel="00000000" w:rsidP="00000000" w:rsidRDefault="00000000" w:rsidRPr="00000000" w14:paraId="0000010B">
            <w:pPr>
              <w:jc w:val="center"/>
              <w:rPr/>
            </w:pPr>
            <w:r w:rsidDel="00000000" w:rsidR="00000000" w:rsidRPr="00000000">
              <w:rPr>
                <w:b w:val="0"/>
                <w:bCs w:val="0"/>
                <w:sz w:val="18"/>
                <w:szCs w:val="18"/>
                <w:rtl w:val="0"/>
              </w:rPr>
              <w:t xml:space="preserve">7</w:t>
            </w:r>
            <w:r w:rsidDel="00000000" w:rsidR="00000000" w:rsidRPr="00000000">
              <w:rPr>
                <w:rtl w:val="0"/>
              </w:rPr>
            </w:r>
          </w:p>
        </w:tc>
        <w:tc>
          <w:tcPr>
            <w:shd w:fill="e8eef3" w:val="clear"/>
            <w:tcMar>
              <w:top w:w="80.0" w:type="dxa"/>
              <w:left w:w="100.0" w:type="dxa"/>
              <w:bottom w:w="80.0" w:type="dxa"/>
              <w:right w:w="100.0" w:type="dxa"/>
            </w:tcMar>
            <w:vAlign w:val="center"/>
          </w:tcPr>
          <w:p w:rsidR="00000000" w:rsidDel="00000000" w:rsidP="00000000" w:rsidRDefault="00000000" w:rsidRPr="00000000" w14:paraId="0000010C">
            <w:pPr>
              <w:jc w:val="left"/>
              <w:rPr/>
            </w:pPr>
            <w:r w:rsidDel="00000000" w:rsidR="00000000" w:rsidRPr="00000000">
              <w:rPr>
                <w:b w:val="0"/>
                <w:bCs w:val="0"/>
                <w:sz w:val="18"/>
                <w:szCs w:val="18"/>
                <w:rtl w:val="0"/>
              </w:rPr>
              <w:t xml:space="preserve">Grid Interconnection</w:t>
            </w:r>
            <w:r w:rsidDel="00000000" w:rsidR="00000000" w:rsidRPr="00000000">
              <w:rPr>
                <w:rtl w:val="0"/>
              </w:rPr>
            </w:r>
          </w:p>
        </w:tc>
        <w:tc>
          <w:tcPr>
            <w:shd w:fill="e8eef3" w:val="clear"/>
            <w:tcMar>
              <w:top w:w="80.0" w:type="dxa"/>
              <w:left w:w="100.0" w:type="dxa"/>
              <w:bottom w:w="80.0" w:type="dxa"/>
              <w:right w:w="100.0" w:type="dxa"/>
            </w:tcMar>
            <w:vAlign w:val="center"/>
          </w:tcPr>
          <w:p w:rsidR="00000000" w:rsidDel="00000000" w:rsidP="00000000" w:rsidRDefault="00000000" w:rsidRPr="00000000" w14:paraId="0000010D">
            <w:pPr>
              <w:jc w:val="left"/>
              <w:rPr/>
            </w:pPr>
            <w:r w:rsidDel="00000000" w:rsidR="00000000" w:rsidRPr="00000000">
              <w:rPr>
                <w:b w:val="0"/>
                <w:bCs w:val="0"/>
                <w:sz w:val="18"/>
                <w:szCs w:val="18"/>
                <w:rtl w:val="0"/>
              </w:rPr>
              <w:t xml:space="preserve">3-4%</w:t>
            </w:r>
            <w:r w:rsidDel="00000000" w:rsidR="00000000" w:rsidRPr="00000000">
              <w:rPr>
                <w:rtl w:val="0"/>
              </w:rPr>
            </w:r>
          </w:p>
        </w:tc>
        <w:tc>
          <w:tcPr>
            <w:shd w:fill="e8eef3" w:val="clear"/>
            <w:tcMar>
              <w:top w:w="80.0" w:type="dxa"/>
              <w:left w:w="100.0" w:type="dxa"/>
              <w:bottom w:w="80.0" w:type="dxa"/>
              <w:right w:w="100.0" w:type="dxa"/>
            </w:tcMar>
            <w:vAlign w:val="center"/>
          </w:tcPr>
          <w:p w:rsidR="00000000" w:rsidDel="00000000" w:rsidP="00000000" w:rsidRDefault="00000000" w:rsidRPr="00000000" w14:paraId="0000010E">
            <w:pPr>
              <w:jc w:val="left"/>
              <w:rPr/>
            </w:pPr>
            <w:r w:rsidDel="00000000" w:rsidR="00000000" w:rsidRPr="00000000">
              <w:rPr>
                <w:b w:val="0"/>
                <w:bCs w:val="0"/>
                <w:sz w:val="18"/>
                <w:szCs w:val="18"/>
                <w:rtl w:val="0"/>
              </w:rPr>
              <w:t xml:space="preserve">800-1,000</w:t>
            </w:r>
            <w:r w:rsidDel="00000000" w:rsidR="00000000" w:rsidRPr="00000000">
              <w:rPr>
                <w:rtl w:val="0"/>
              </w:rPr>
            </w:r>
          </w:p>
        </w:tc>
        <w:tc>
          <w:tcPr>
            <w:shd w:fill="e8eef3" w:val="clear"/>
            <w:tcMar>
              <w:top w:w="80.0" w:type="dxa"/>
              <w:left w:w="100.0" w:type="dxa"/>
              <w:bottom w:w="80.0" w:type="dxa"/>
              <w:right w:w="100.0" w:type="dxa"/>
            </w:tcMar>
            <w:vAlign w:val="center"/>
          </w:tcPr>
          <w:p w:rsidR="00000000" w:rsidDel="00000000" w:rsidP="00000000" w:rsidRDefault="00000000" w:rsidRPr="00000000" w14:paraId="0000010F">
            <w:pPr>
              <w:jc w:val="left"/>
              <w:rPr/>
            </w:pPr>
            <w:r w:rsidDel="00000000" w:rsidR="00000000" w:rsidRPr="00000000">
              <w:rPr>
                <w:b w:val="0"/>
                <w:bCs w:val="0"/>
                <w:sz w:val="18"/>
                <w:szCs w:val="18"/>
                <w:rtl w:val="0"/>
              </w:rPr>
              <w:t xml:space="preserve">2-3%</w:t>
            </w:r>
            <w:r w:rsidDel="00000000" w:rsidR="00000000" w:rsidRPr="00000000">
              <w:rPr>
                <w:rtl w:val="0"/>
              </w:rPr>
            </w:r>
          </w:p>
        </w:tc>
        <w:tc>
          <w:tcPr>
            <w:shd w:fill="e8eef3" w:val="clear"/>
            <w:tcMar>
              <w:top w:w="80.0" w:type="dxa"/>
              <w:left w:w="100.0" w:type="dxa"/>
              <w:bottom w:w="80.0" w:type="dxa"/>
              <w:right w:w="100.0" w:type="dxa"/>
            </w:tcMar>
            <w:vAlign w:val="center"/>
          </w:tcPr>
          <w:p w:rsidR="00000000" w:rsidDel="00000000" w:rsidP="00000000" w:rsidRDefault="00000000" w:rsidRPr="00000000" w14:paraId="00000110">
            <w:pPr>
              <w:jc w:val="left"/>
              <w:rPr/>
            </w:pPr>
            <w:r w:rsidDel="00000000" w:rsidR="00000000" w:rsidRPr="00000000">
              <w:rPr>
                <w:b w:val="0"/>
                <w:bCs w:val="0"/>
                <w:sz w:val="18"/>
                <w:szCs w:val="18"/>
                <w:rtl w:val="0"/>
              </w:rPr>
              <w:t xml:space="preserve">750-1,200</w:t>
            </w:r>
            <w:r w:rsidDel="00000000" w:rsidR="00000000" w:rsidRPr="00000000">
              <w:rPr>
                <w:rtl w:val="0"/>
              </w:rPr>
            </w:r>
          </w:p>
        </w:tc>
      </w:tr>
      <w:tr>
        <w:trPr>
          <w:cantSplit w:val="0"/>
          <w:tblHeader w:val="0"/>
        </w:trPr>
        <w:tc>
          <w:tcPr>
            <w:shd w:fill="eaf3ee" w:val="clear"/>
            <w:tcMar>
              <w:top w:w="80.0" w:type="dxa"/>
              <w:left w:w="100.0" w:type="dxa"/>
              <w:bottom w:w="80.0" w:type="dxa"/>
              <w:right w:w="100.0" w:type="dxa"/>
            </w:tcMar>
            <w:vAlign w:val="center"/>
          </w:tcPr>
          <w:p w:rsidR="00000000" w:rsidDel="00000000" w:rsidP="00000000" w:rsidRDefault="00000000" w:rsidRPr="00000000" w14:paraId="00000111">
            <w:pPr>
              <w:jc w:val="center"/>
              <w:rPr/>
            </w:pPr>
            <w:r w:rsidDel="00000000" w:rsidR="00000000" w:rsidRPr="00000000">
              <w:rPr>
                <w:b w:val="1"/>
                <w:bCs w:val="1"/>
                <w:sz w:val="18"/>
                <w:szCs w:val="18"/>
                <w:rtl w:val="0"/>
              </w:rPr>
              <w:t xml:space="preserve">8</w:t>
            </w:r>
            <w:r w:rsidDel="00000000" w:rsidR="00000000" w:rsidRPr="00000000">
              <w:rPr>
                <w:rtl w:val="0"/>
              </w:rPr>
            </w:r>
          </w:p>
        </w:tc>
        <w:tc>
          <w:tcPr>
            <w:shd w:fill="eaf3ee" w:val="clear"/>
            <w:tcMar>
              <w:top w:w="80.0" w:type="dxa"/>
              <w:left w:w="100.0" w:type="dxa"/>
              <w:bottom w:w="80.0" w:type="dxa"/>
              <w:right w:w="100.0" w:type="dxa"/>
            </w:tcMar>
            <w:vAlign w:val="center"/>
          </w:tcPr>
          <w:p w:rsidR="00000000" w:rsidDel="00000000" w:rsidP="00000000" w:rsidRDefault="00000000" w:rsidRPr="00000000" w14:paraId="00000112">
            <w:pPr>
              <w:jc w:val="left"/>
              <w:rPr/>
            </w:pPr>
            <w:r w:rsidDel="00000000" w:rsidR="00000000" w:rsidRPr="00000000">
              <w:rPr>
                <w:b w:val="1"/>
                <w:bCs w:val="1"/>
                <w:sz w:val="18"/>
                <w:szCs w:val="18"/>
                <w:rtl w:val="0"/>
              </w:rPr>
              <w:t xml:space="preserve">Total</w:t>
            </w:r>
            <w:r w:rsidDel="00000000" w:rsidR="00000000" w:rsidRPr="00000000">
              <w:rPr>
                <w:rtl w:val="0"/>
              </w:rPr>
            </w:r>
          </w:p>
        </w:tc>
        <w:tc>
          <w:tcPr>
            <w:shd w:fill="eaf3ee" w:val="clear"/>
            <w:tcMar>
              <w:top w:w="80.0" w:type="dxa"/>
              <w:left w:w="100.0" w:type="dxa"/>
              <w:bottom w:w="80.0" w:type="dxa"/>
              <w:right w:w="100.0" w:type="dxa"/>
            </w:tcMar>
            <w:vAlign w:val="center"/>
          </w:tcPr>
          <w:p w:rsidR="00000000" w:rsidDel="00000000" w:rsidP="00000000" w:rsidRDefault="00000000" w:rsidRPr="00000000" w14:paraId="00000113">
            <w:pPr>
              <w:jc w:val="left"/>
              <w:rPr/>
            </w:pPr>
            <w:r w:rsidDel="00000000" w:rsidR="00000000" w:rsidRPr="00000000">
              <w:rPr>
                <w:b w:val="1"/>
                <w:bCs w:val="1"/>
                <w:sz w:val="18"/>
                <w:szCs w:val="18"/>
                <w:rtl w:val="0"/>
              </w:rPr>
              <w:t xml:space="preserve">100%</w:t>
            </w:r>
            <w:r w:rsidDel="00000000" w:rsidR="00000000" w:rsidRPr="00000000">
              <w:rPr>
                <w:rtl w:val="0"/>
              </w:rPr>
            </w:r>
          </w:p>
        </w:tc>
        <w:tc>
          <w:tcPr>
            <w:shd w:fill="eaf3ee" w:val="clear"/>
            <w:tcMar>
              <w:top w:w="80.0" w:type="dxa"/>
              <w:left w:w="100.0" w:type="dxa"/>
              <w:bottom w:w="80.0" w:type="dxa"/>
              <w:right w:w="100.0" w:type="dxa"/>
            </w:tcMar>
            <w:vAlign w:val="center"/>
          </w:tcPr>
          <w:p w:rsidR="00000000" w:rsidDel="00000000" w:rsidP="00000000" w:rsidRDefault="00000000" w:rsidRPr="00000000" w14:paraId="00000114">
            <w:pPr>
              <w:jc w:val="left"/>
              <w:rPr/>
            </w:pPr>
            <w:r w:rsidDel="00000000" w:rsidR="00000000" w:rsidRPr="00000000">
              <w:rPr>
                <w:b w:val="1"/>
                <w:bCs w:val="1"/>
                <w:sz w:val="18"/>
                <w:szCs w:val="18"/>
                <w:rtl w:val="0"/>
              </w:rPr>
              <w:t xml:space="preserve">22,300-31,000</w:t>
            </w:r>
            <w:r w:rsidDel="00000000" w:rsidR="00000000" w:rsidRPr="00000000">
              <w:rPr>
                <w:rtl w:val="0"/>
              </w:rPr>
            </w:r>
          </w:p>
        </w:tc>
        <w:tc>
          <w:tcPr>
            <w:shd w:fill="eaf3ee" w:val="clear"/>
            <w:tcMar>
              <w:top w:w="80.0" w:type="dxa"/>
              <w:left w:w="100.0" w:type="dxa"/>
              <w:bottom w:w="80.0" w:type="dxa"/>
              <w:right w:w="100.0" w:type="dxa"/>
            </w:tcMar>
            <w:vAlign w:val="center"/>
          </w:tcPr>
          <w:p w:rsidR="00000000" w:rsidDel="00000000" w:rsidP="00000000" w:rsidRDefault="00000000" w:rsidRPr="00000000" w14:paraId="00000115">
            <w:pPr>
              <w:jc w:val="left"/>
              <w:rPr/>
            </w:pPr>
            <w:r w:rsidDel="00000000" w:rsidR="00000000" w:rsidRPr="00000000">
              <w:rPr>
                <w:b w:val="1"/>
                <w:bCs w:val="1"/>
                <w:sz w:val="18"/>
                <w:szCs w:val="18"/>
                <w:rtl w:val="0"/>
              </w:rPr>
              <w:t xml:space="preserve">100%</w:t>
            </w:r>
            <w:r w:rsidDel="00000000" w:rsidR="00000000" w:rsidRPr="00000000">
              <w:rPr>
                <w:rtl w:val="0"/>
              </w:rPr>
            </w:r>
          </w:p>
        </w:tc>
        <w:tc>
          <w:tcPr>
            <w:shd w:fill="eaf3ee" w:val="clear"/>
            <w:tcMar>
              <w:top w:w="80.0" w:type="dxa"/>
              <w:left w:w="100.0" w:type="dxa"/>
              <w:bottom w:w="80.0" w:type="dxa"/>
              <w:right w:w="100.0" w:type="dxa"/>
            </w:tcMar>
            <w:vAlign w:val="center"/>
          </w:tcPr>
          <w:p w:rsidR="00000000" w:rsidDel="00000000" w:rsidP="00000000" w:rsidRDefault="00000000" w:rsidRPr="00000000" w14:paraId="00000116">
            <w:pPr>
              <w:jc w:val="left"/>
              <w:rPr/>
            </w:pPr>
            <w:r w:rsidDel="00000000" w:rsidR="00000000" w:rsidRPr="00000000">
              <w:rPr>
                <w:b w:val="1"/>
                <w:bCs w:val="1"/>
                <w:sz w:val="18"/>
                <w:szCs w:val="18"/>
                <w:rtl w:val="0"/>
              </w:rPr>
              <w:t xml:space="preserve">34,000-44,700</w:t>
            </w:r>
            <w:r w:rsidDel="00000000" w:rsidR="00000000" w:rsidRPr="00000000">
              <w:rPr>
                <w:rtl w:val="0"/>
              </w:rPr>
            </w:r>
          </w:p>
        </w:tc>
      </w:tr>
      <w:tr>
        <w:trPr>
          <w:cantSplit w:val="0"/>
          <w:tblHeader w:val="0"/>
        </w:trPr>
        <w:tc>
          <w:tcPr>
            <w:shd w:fill="eaf3ee" w:val="clear"/>
            <w:tcMar>
              <w:top w:w="80.0" w:type="dxa"/>
              <w:left w:w="100.0" w:type="dxa"/>
              <w:bottom w:w="80.0" w:type="dxa"/>
              <w:right w:w="100.0" w:type="dxa"/>
            </w:tcMar>
            <w:vAlign w:val="center"/>
          </w:tcPr>
          <w:p w:rsidR="00000000" w:rsidDel="00000000" w:rsidP="00000000" w:rsidRDefault="00000000" w:rsidRPr="00000000" w14:paraId="00000117">
            <w:pPr>
              <w:jc w:val="center"/>
              <w:rPr/>
            </w:pPr>
            <w:r w:rsidDel="00000000" w:rsidR="00000000" w:rsidRPr="00000000">
              <w:rPr>
                <w:b w:val="1"/>
                <w:bCs w:val="1"/>
                <w:sz w:val="18"/>
                <w:szCs w:val="18"/>
                <w:rtl w:val="0"/>
              </w:rPr>
              <w:t xml:space="preserve">9</w:t>
            </w:r>
            <w:r w:rsidDel="00000000" w:rsidR="00000000" w:rsidRPr="00000000">
              <w:rPr>
                <w:rtl w:val="0"/>
              </w:rPr>
            </w:r>
          </w:p>
        </w:tc>
        <w:tc>
          <w:tcPr>
            <w:shd w:fill="eaf3ee" w:val="clear"/>
            <w:tcMar>
              <w:top w:w="80.0" w:type="dxa"/>
              <w:left w:w="100.0" w:type="dxa"/>
              <w:bottom w:w="80.0" w:type="dxa"/>
              <w:right w:w="100.0" w:type="dxa"/>
            </w:tcMar>
            <w:vAlign w:val="center"/>
          </w:tcPr>
          <w:p w:rsidR="00000000" w:rsidDel="00000000" w:rsidP="00000000" w:rsidRDefault="00000000" w:rsidRPr="00000000" w14:paraId="00000118">
            <w:pPr>
              <w:jc w:val="left"/>
              <w:rPr/>
            </w:pPr>
            <w:r w:rsidDel="00000000" w:rsidR="00000000" w:rsidRPr="00000000">
              <w:rPr>
                <w:b w:val="1"/>
                <w:bCs w:val="1"/>
                <w:sz w:val="18"/>
                <w:szCs w:val="18"/>
                <w:rtl w:val="0"/>
              </w:rPr>
              <w:t xml:space="preserve">Total (₹ Cr/MWh)</w:t>
            </w:r>
            <w:r w:rsidDel="00000000" w:rsidR="00000000" w:rsidRPr="00000000">
              <w:rPr>
                <w:rtl w:val="0"/>
              </w:rPr>
            </w:r>
          </w:p>
        </w:tc>
        <w:tc>
          <w:tcPr>
            <w:shd w:fill="eaf3ee" w:val="clear"/>
            <w:tcMar>
              <w:top w:w="80.0" w:type="dxa"/>
              <w:left w:w="100.0" w:type="dxa"/>
              <w:bottom w:w="80.0" w:type="dxa"/>
              <w:right w:w="100.0" w:type="dxa"/>
            </w:tcMar>
            <w:vAlign w:val="center"/>
          </w:tcPr>
          <w:p w:rsidR="00000000" w:rsidDel="00000000" w:rsidP="00000000" w:rsidRDefault="00000000" w:rsidRPr="00000000" w14:paraId="00000119">
            <w:pPr>
              <w:jc w:val="left"/>
              <w:rPr/>
            </w:pPr>
            <w:r w:rsidDel="00000000" w:rsidR="00000000" w:rsidRPr="00000000">
              <w:rPr>
                <w:b w:val="1"/>
                <w:bCs w:val="1"/>
                <w:sz w:val="18"/>
                <w:szCs w:val="18"/>
                <w:rtl w:val="0"/>
              </w:rPr>
              <w:t xml:space="preserve">-</w:t>
            </w:r>
            <w:r w:rsidDel="00000000" w:rsidR="00000000" w:rsidRPr="00000000">
              <w:rPr>
                <w:rtl w:val="0"/>
              </w:rPr>
            </w:r>
          </w:p>
        </w:tc>
        <w:tc>
          <w:tcPr>
            <w:shd w:fill="eaf3ee" w:val="clear"/>
            <w:tcMar>
              <w:top w:w="80.0" w:type="dxa"/>
              <w:left w:w="100.0" w:type="dxa"/>
              <w:bottom w:w="80.0" w:type="dxa"/>
              <w:right w:w="100.0" w:type="dxa"/>
            </w:tcMar>
            <w:vAlign w:val="center"/>
          </w:tcPr>
          <w:p w:rsidR="00000000" w:rsidDel="00000000" w:rsidP="00000000" w:rsidRDefault="00000000" w:rsidRPr="00000000" w14:paraId="0000011A">
            <w:pPr>
              <w:jc w:val="left"/>
              <w:rPr/>
            </w:pPr>
            <w:r w:rsidDel="00000000" w:rsidR="00000000" w:rsidRPr="00000000">
              <w:rPr>
                <w:b w:val="1"/>
                <w:bCs w:val="1"/>
                <w:sz w:val="18"/>
                <w:szCs w:val="18"/>
                <w:rtl w:val="0"/>
              </w:rPr>
              <w:t xml:space="preserve">2.23-3.1 Cr</w:t>
            </w:r>
            <w:r w:rsidDel="00000000" w:rsidR="00000000" w:rsidRPr="00000000">
              <w:rPr>
                <w:rtl w:val="0"/>
              </w:rPr>
            </w:r>
          </w:p>
        </w:tc>
        <w:tc>
          <w:tcPr>
            <w:shd w:fill="eaf3ee" w:val="clear"/>
            <w:tcMar>
              <w:top w:w="80.0" w:type="dxa"/>
              <w:left w:w="100.0" w:type="dxa"/>
              <w:bottom w:w="80.0" w:type="dxa"/>
              <w:right w:w="100.0" w:type="dxa"/>
            </w:tcMar>
            <w:vAlign w:val="center"/>
          </w:tcPr>
          <w:p w:rsidR="00000000" w:rsidDel="00000000" w:rsidP="00000000" w:rsidRDefault="00000000" w:rsidRPr="00000000" w14:paraId="0000011B">
            <w:pPr>
              <w:jc w:val="left"/>
              <w:rPr/>
            </w:pPr>
            <w:r w:rsidDel="00000000" w:rsidR="00000000" w:rsidRPr="00000000">
              <w:rPr>
                <w:b w:val="1"/>
                <w:bCs w:val="1"/>
                <w:sz w:val="18"/>
                <w:szCs w:val="18"/>
                <w:rtl w:val="0"/>
              </w:rPr>
              <w:t xml:space="preserve">-</w:t>
            </w:r>
            <w:r w:rsidDel="00000000" w:rsidR="00000000" w:rsidRPr="00000000">
              <w:rPr>
                <w:rtl w:val="0"/>
              </w:rPr>
            </w:r>
          </w:p>
        </w:tc>
        <w:tc>
          <w:tcPr>
            <w:shd w:fill="eaf3ee" w:val="clear"/>
            <w:tcMar>
              <w:top w:w="80.0" w:type="dxa"/>
              <w:left w:w="100.0" w:type="dxa"/>
              <w:bottom w:w="80.0" w:type="dxa"/>
              <w:right w:w="100.0" w:type="dxa"/>
            </w:tcMar>
            <w:vAlign w:val="center"/>
          </w:tcPr>
          <w:p w:rsidR="00000000" w:rsidDel="00000000" w:rsidP="00000000" w:rsidRDefault="00000000" w:rsidRPr="00000000" w14:paraId="0000011C">
            <w:pPr>
              <w:jc w:val="left"/>
              <w:rPr/>
            </w:pPr>
            <w:r w:rsidDel="00000000" w:rsidR="00000000" w:rsidRPr="00000000">
              <w:rPr>
                <w:b w:val="1"/>
                <w:bCs w:val="1"/>
                <w:sz w:val="18"/>
                <w:szCs w:val="18"/>
                <w:rtl w:val="0"/>
              </w:rPr>
              <w:t xml:space="preserve">3.4-4.47 Cr</w:t>
            </w:r>
            <w:r w:rsidDel="00000000" w:rsidR="00000000" w:rsidRPr="00000000">
              <w:rPr>
                <w:rtl w:val="0"/>
              </w:rPr>
            </w:r>
          </w:p>
        </w:tc>
      </w:tr>
    </w:tbl>
    <w:p w:rsidR="00000000" w:rsidDel="00000000" w:rsidP="00000000" w:rsidRDefault="00000000" w:rsidRPr="00000000" w14:paraId="0000011D">
      <w:pPr>
        <w:spacing w:after="120" w:lineRule="auto"/>
        <w:rPr/>
      </w:pPr>
      <w:r w:rsidDel="00000000" w:rsidR="00000000" w:rsidRPr="00000000">
        <w:rPr>
          <w:rtl w:val="0"/>
        </w:rPr>
      </w:r>
    </w:p>
    <w:p w:rsidR="00000000" w:rsidDel="00000000" w:rsidP="00000000" w:rsidRDefault="00000000" w:rsidRPr="00000000" w14:paraId="0000011E">
      <w:pPr>
        <w:spacing w:after="200" w:before="100" w:lineRule="auto"/>
        <w:rPr/>
      </w:pPr>
      <w:r w:rsidDel="00000000" w:rsidR="00000000" w:rsidRPr="00000000">
        <w:rPr>
          <w:i w:val="1"/>
          <w:iCs w:val="1"/>
          <w:sz w:val="17"/>
          <w:szCs w:val="17"/>
          <w:rtl w:val="0"/>
        </w:rPr>
        <w:t xml:space="preserve">Source: Industry CapEx benchmarking, 2020 vs 2025 comparison</w:t>
      </w:r>
      <w:r w:rsidDel="00000000" w:rsidR="00000000" w:rsidRPr="00000000">
        <w:rPr>
          <w:rtl w:val="0"/>
        </w:rPr>
      </w:r>
    </w:p>
    <w:p w:rsidR="00000000" w:rsidDel="00000000" w:rsidP="00000000" w:rsidRDefault="00000000" w:rsidRPr="00000000" w14:paraId="0000011F">
      <w:pPr>
        <w:pStyle w:val="Heading2"/>
        <w:spacing w:after="120" w:before="240" w:lineRule="auto"/>
        <w:rPr>
          <w:color w:val="000000"/>
        </w:rPr>
      </w:pPr>
      <w:r w:rsidDel="00000000" w:rsidR="00000000" w:rsidRPr="00000000">
        <w:rPr>
          <w:b w:val="1"/>
          <w:bCs w:val="1"/>
          <w:color w:val="000000"/>
          <w:sz w:val="26"/>
          <w:szCs w:val="26"/>
          <w:rtl w:val="0"/>
        </w:rPr>
        <w:t xml:space="preserve">Operating Expenditure (OpEx)</w:t>
      </w:r>
      <w:r w:rsidDel="00000000" w:rsidR="00000000" w:rsidRPr="00000000">
        <w:rPr>
          <w:rtl w:val="0"/>
        </w:rPr>
      </w:r>
    </w:p>
    <w:p w:rsidR="00000000" w:rsidDel="00000000" w:rsidP="00000000" w:rsidRDefault="00000000" w:rsidRPr="00000000" w14:paraId="00000120">
      <w:pPr>
        <w:spacing w:after="120" w:lineRule="auto"/>
        <w:jc w:val="both"/>
        <w:rPr/>
      </w:pPr>
      <w:r w:rsidDel="00000000" w:rsidR="00000000" w:rsidRPr="00000000">
        <w:rPr>
          <w:i w:val="0"/>
          <w:iCs w:val="0"/>
          <w:sz w:val="21"/>
          <w:szCs w:val="21"/>
          <w:rtl w:val="0"/>
        </w:rPr>
        <w:t xml:space="preserve">Unlike solar-only assets, BESS carries a meaningfully higher O&amp;M burden because of battery management, thermal control, and degradation-related servicing. Industry benchmarks show typical annual O&amp;M landing between 1.5-2.5% of CapEx, with the split as follows:</w:t>
      </w: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400"/>
        <w:gridCol w:w="3750"/>
        <w:tblGridChange w:id="0">
          <w:tblGrid>
            <w:gridCol w:w="3200"/>
            <w:gridCol w:w="2400"/>
            <w:gridCol w:w="3750"/>
          </w:tblGrid>
        </w:tblGridChange>
      </w:tblGrid>
      <w:tr>
        <w:trPr>
          <w:cantSplit w:val="0"/>
          <w:tblHeader w:val="0"/>
        </w:trPr>
        <w:tc>
          <w:tcPr>
            <w:shd w:fill="1b3a57" w:val="clear"/>
            <w:tcMar>
              <w:top w:w="80.0" w:type="dxa"/>
              <w:left w:w="100.0" w:type="dxa"/>
              <w:bottom w:w="80.0" w:type="dxa"/>
              <w:right w:w="100.0" w:type="dxa"/>
            </w:tcMar>
            <w:vAlign w:val="center"/>
          </w:tcPr>
          <w:p w:rsidR="00000000" w:rsidDel="00000000" w:rsidP="00000000" w:rsidRDefault="00000000" w:rsidRPr="00000000" w14:paraId="00000121">
            <w:pPr>
              <w:jc w:val="left"/>
              <w:rPr/>
            </w:pPr>
            <w:r w:rsidDel="00000000" w:rsidR="00000000" w:rsidRPr="00000000">
              <w:rPr>
                <w:b w:val="1"/>
                <w:bCs w:val="1"/>
                <w:sz w:val="17"/>
                <w:szCs w:val="17"/>
                <w:rtl w:val="0"/>
              </w:rPr>
              <w:t xml:space="preserve">Cost Component</w:t>
            </w:r>
            <w:r w:rsidDel="00000000" w:rsidR="00000000" w:rsidRPr="00000000">
              <w:rPr>
                <w:rtl w:val="0"/>
              </w:rPr>
            </w:r>
          </w:p>
        </w:tc>
        <w:tc>
          <w:tcPr>
            <w:shd w:fill="1b3a57" w:val="clear"/>
            <w:tcMar>
              <w:top w:w="80.0" w:type="dxa"/>
              <w:left w:w="100.0" w:type="dxa"/>
              <w:bottom w:w="80.0" w:type="dxa"/>
              <w:right w:w="100.0" w:type="dxa"/>
            </w:tcMar>
            <w:vAlign w:val="center"/>
          </w:tcPr>
          <w:p w:rsidR="00000000" w:rsidDel="00000000" w:rsidP="00000000" w:rsidRDefault="00000000" w:rsidRPr="00000000" w14:paraId="00000122">
            <w:pPr>
              <w:jc w:val="left"/>
              <w:rPr/>
            </w:pPr>
            <w:r w:rsidDel="00000000" w:rsidR="00000000" w:rsidRPr="00000000">
              <w:rPr>
                <w:b w:val="1"/>
                <w:bCs w:val="1"/>
                <w:sz w:val="17"/>
                <w:szCs w:val="17"/>
                <w:rtl w:val="0"/>
              </w:rPr>
              <w:t xml:space="preserve">Typical Annual Range(% of CapEx)</w:t>
            </w:r>
            <w:r w:rsidDel="00000000" w:rsidR="00000000" w:rsidRPr="00000000">
              <w:rPr>
                <w:rtl w:val="0"/>
              </w:rPr>
            </w:r>
          </w:p>
        </w:tc>
        <w:tc>
          <w:tcPr>
            <w:shd w:fill="1b3a57" w:val="clear"/>
            <w:tcMar>
              <w:top w:w="80.0" w:type="dxa"/>
              <w:left w:w="100.0" w:type="dxa"/>
              <w:bottom w:w="80.0" w:type="dxa"/>
              <w:right w:w="100.0" w:type="dxa"/>
            </w:tcMar>
            <w:vAlign w:val="center"/>
          </w:tcPr>
          <w:p w:rsidR="00000000" w:rsidDel="00000000" w:rsidP="00000000" w:rsidRDefault="00000000" w:rsidRPr="00000000" w14:paraId="00000123">
            <w:pPr>
              <w:jc w:val="left"/>
              <w:rPr/>
            </w:pPr>
            <w:r w:rsidDel="00000000" w:rsidR="00000000" w:rsidRPr="00000000">
              <w:rPr>
                <w:b w:val="1"/>
                <w:bCs w:val="1"/>
                <w:sz w:val="17"/>
                <w:szCs w:val="17"/>
                <w:rtl w:val="0"/>
              </w:rPr>
              <w:t xml:space="preserve">What it Covers</w:t>
            </w:r>
            <w:r w:rsidDel="00000000" w:rsidR="00000000" w:rsidRPr="00000000">
              <w:rPr>
                <w:rtl w:val="0"/>
              </w:rPr>
            </w:r>
          </w:p>
        </w:tc>
      </w:tr>
      <w:tr>
        <w:trPr>
          <w:cantSplit w:val="0"/>
          <w:tblHeader w:val="0"/>
        </w:trPr>
        <w:tc>
          <w:tcPr>
            <w:shd w:fill="e8eef3" w:val="clear"/>
            <w:tcMar>
              <w:top w:w="80.0" w:type="dxa"/>
              <w:left w:w="100.0" w:type="dxa"/>
              <w:bottom w:w="80.0" w:type="dxa"/>
              <w:right w:w="100.0" w:type="dxa"/>
            </w:tcMar>
            <w:vAlign w:val="center"/>
          </w:tcPr>
          <w:p w:rsidR="00000000" w:rsidDel="00000000" w:rsidP="00000000" w:rsidRDefault="00000000" w:rsidRPr="00000000" w14:paraId="00000124">
            <w:pPr>
              <w:jc w:val="left"/>
              <w:rPr/>
            </w:pPr>
            <w:r w:rsidDel="00000000" w:rsidR="00000000" w:rsidRPr="00000000">
              <w:rPr>
                <w:b w:val="0"/>
                <w:bCs w:val="0"/>
                <w:sz w:val="18"/>
                <w:szCs w:val="18"/>
                <w:rtl w:val="0"/>
              </w:rPr>
              <w:t xml:space="preserve">Preventive &amp; corrective maintenance</w:t>
            </w:r>
            <w:r w:rsidDel="00000000" w:rsidR="00000000" w:rsidRPr="00000000">
              <w:rPr>
                <w:rtl w:val="0"/>
              </w:rPr>
            </w:r>
          </w:p>
        </w:tc>
        <w:tc>
          <w:tcPr>
            <w:shd w:fill="e8eef3" w:val="clear"/>
            <w:tcMar>
              <w:top w:w="80.0" w:type="dxa"/>
              <w:left w:w="100.0" w:type="dxa"/>
              <w:bottom w:w="80.0" w:type="dxa"/>
              <w:right w:w="100.0" w:type="dxa"/>
            </w:tcMar>
            <w:vAlign w:val="center"/>
          </w:tcPr>
          <w:p w:rsidR="00000000" w:rsidDel="00000000" w:rsidP="00000000" w:rsidRDefault="00000000" w:rsidRPr="00000000" w14:paraId="00000125">
            <w:pPr>
              <w:jc w:val="left"/>
              <w:rPr/>
            </w:pPr>
            <w:r w:rsidDel="00000000" w:rsidR="00000000" w:rsidRPr="00000000">
              <w:rPr>
                <w:b w:val="0"/>
                <w:bCs w:val="0"/>
                <w:sz w:val="18"/>
                <w:szCs w:val="18"/>
                <w:rtl w:val="0"/>
              </w:rPr>
              <w:t xml:space="preserve">0.5-0.9%</w:t>
            </w:r>
            <w:r w:rsidDel="00000000" w:rsidR="00000000" w:rsidRPr="00000000">
              <w:rPr>
                <w:rtl w:val="0"/>
              </w:rPr>
            </w:r>
          </w:p>
        </w:tc>
        <w:tc>
          <w:tcPr>
            <w:shd w:fill="e8eef3" w:val="clear"/>
            <w:tcMar>
              <w:top w:w="80.0" w:type="dxa"/>
              <w:left w:w="100.0" w:type="dxa"/>
              <w:bottom w:w="80.0" w:type="dxa"/>
              <w:right w:w="100.0" w:type="dxa"/>
            </w:tcMar>
            <w:vAlign w:val="center"/>
          </w:tcPr>
          <w:p w:rsidR="00000000" w:rsidDel="00000000" w:rsidP="00000000" w:rsidRDefault="00000000" w:rsidRPr="00000000" w14:paraId="00000126">
            <w:pPr>
              <w:jc w:val="left"/>
              <w:rPr/>
            </w:pPr>
            <w:r w:rsidDel="00000000" w:rsidR="00000000" w:rsidRPr="00000000">
              <w:rPr>
                <w:b w:val="0"/>
                <w:bCs w:val="0"/>
                <w:sz w:val="18"/>
                <w:szCs w:val="18"/>
                <w:rtl w:val="0"/>
              </w:rPr>
              <w:t xml:space="preserve">Scheduled inspections, part replacement, thermal/BMS servicing</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127">
            <w:pPr>
              <w:jc w:val="left"/>
              <w:rPr/>
            </w:pPr>
            <w:r w:rsidDel="00000000" w:rsidR="00000000" w:rsidRPr="00000000">
              <w:rPr>
                <w:b w:val="0"/>
                <w:bCs w:val="0"/>
                <w:sz w:val="18"/>
                <w:szCs w:val="18"/>
                <w:rtl w:val="0"/>
              </w:rPr>
              <w:t xml:space="preserve">Insurance &amp; warranty premiums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28">
            <w:pPr>
              <w:jc w:val="left"/>
              <w:rPr/>
            </w:pPr>
            <w:r w:rsidDel="00000000" w:rsidR="00000000" w:rsidRPr="00000000">
              <w:rPr>
                <w:b w:val="0"/>
                <w:bCs w:val="0"/>
                <w:sz w:val="18"/>
                <w:szCs w:val="18"/>
                <w:rtl w:val="0"/>
              </w:rPr>
              <w:t xml:space="preserve">0.3-0.5%</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29">
            <w:pPr>
              <w:jc w:val="left"/>
              <w:rPr/>
            </w:pPr>
            <w:r w:rsidDel="00000000" w:rsidR="00000000" w:rsidRPr="00000000">
              <w:rPr>
                <w:b w:val="0"/>
                <w:bCs w:val="0"/>
                <w:sz w:val="18"/>
                <w:szCs w:val="18"/>
                <w:rtl w:val="0"/>
              </w:rPr>
              <w:t xml:space="preserve">Asset insurance, degradation/performance warranty cover</w:t>
            </w:r>
            <w:r w:rsidDel="00000000" w:rsidR="00000000" w:rsidRPr="00000000">
              <w:rPr>
                <w:rtl w:val="0"/>
              </w:rPr>
            </w:r>
          </w:p>
        </w:tc>
      </w:tr>
      <w:tr>
        <w:trPr>
          <w:cantSplit w:val="0"/>
          <w:tblHeader w:val="0"/>
        </w:trPr>
        <w:tc>
          <w:tcPr>
            <w:shd w:fill="e8eef3" w:val="clear"/>
            <w:tcMar>
              <w:top w:w="80.0" w:type="dxa"/>
              <w:left w:w="100.0" w:type="dxa"/>
              <w:bottom w:w="80.0" w:type="dxa"/>
              <w:right w:w="100.0" w:type="dxa"/>
            </w:tcMar>
            <w:vAlign w:val="center"/>
          </w:tcPr>
          <w:p w:rsidR="00000000" w:rsidDel="00000000" w:rsidP="00000000" w:rsidRDefault="00000000" w:rsidRPr="00000000" w14:paraId="0000012A">
            <w:pPr>
              <w:jc w:val="left"/>
              <w:rPr/>
            </w:pPr>
            <w:r w:rsidDel="00000000" w:rsidR="00000000" w:rsidRPr="00000000">
              <w:rPr>
                <w:b w:val="0"/>
                <w:bCs w:val="0"/>
                <w:sz w:val="18"/>
                <w:szCs w:val="18"/>
                <w:rtl w:val="0"/>
              </w:rPr>
              <w:t xml:space="preserve">Monitoring, SCADA &amp; software</w:t>
            </w:r>
            <w:r w:rsidDel="00000000" w:rsidR="00000000" w:rsidRPr="00000000">
              <w:rPr>
                <w:rtl w:val="0"/>
              </w:rPr>
            </w:r>
          </w:p>
        </w:tc>
        <w:tc>
          <w:tcPr>
            <w:shd w:fill="e8eef3" w:val="clear"/>
            <w:tcMar>
              <w:top w:w="80.0" w:type="dxa"/>
              <w:left w:w="100.0" w:type="dxa"/>
              <w:bottom w:w="80.0" w:type="dxa"/>
              <w:right w:w="100.0" w:type="dxa"/>
            </w:tcMar>
            <w:vAlign w:val="center"/>
          </w:tcPr>
          <w:p w:rsidR="00000000" w:rsidDel="00000000" w:rsidP="00000000" w:rsidRDefault="00000000" w:rsidRPr="00000000" w14:paraId="0000012B">
            <w:pPr>
              <w:jc w:val="left"/>
              <w:rPr/>
            </w:pPr>
            <w:r w:rsidDel="00000000" w:rsidR="00000000" w:rsidRPr="00000000">
              <w:rPr>
                <w:b w:val="0"/>
                <w:bCs w:val="0"/>
                <w:sz w:val="18"/>
                <w:szCs w:val="18"/>
                <w:rtl w:val="0"/>
              </w:rPr>
              <w:t xml:space="preserve">0.2-0.4%</w:t>
            </w:r>
            <w:r w:rsidDel="00000000" w:rsidR="00000000" w:rsidRPr="00000000">
              <w:rPr>
                <w:rtl w:val="0"/>
              </w:rPr>
            </w:r>
          </w:p>
        </w:tc>
        <w:tc>
          <w:tcPr>
            <w:shd w:fill="e8eef3" w:val="clear"/>
            <w:tcMar>
              <w:top w:w="80.0" w:type="dxa"/>
              <w:left w:w="100.0" w:type="dxa"/>
              <w:bottom w:w="80.0" w:type="dxa"/>
              <w:right w:w="100.0" w:type="dxa"/>
            </w:tcMar>
            <w:vAlign w:val="center"/>
          </w:tcPr>
          <w:p w:rsidR="00000000" w:rsidDel="00000000" w:rsidP="00000000" w:rsidRDefault="00000000" w:rsidRPr="00000000" w14:paraId="0000012C">
            <w:pPr>
              <w:jc w:val="left"/>
              <w:rPr/>
            </w:pPr>
            <w:r w:rsidDel="00000000" w:rsidR="00000000" w:rsidRPr="00000000">
              <w:rPr>
                <w:b w:val="0"/>
                <w:bCs w:val="0"/>
                <w:sz w:val="18"/>
                <w:szCs w:val="18"/>
                <w:rtl w:val="0"/>
              </w:rPr>
              <w:t xml:space="preserve">Remote monitoring, predictive-maintenance analytics, controls</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12D">
            <w:pPr>
              <w:jc w:val="left"/>
              <w:rPr/>
            </w:pPr>
            <w:r w:rsidDel="00000000" w:rsidR="00000000" w:rsidRPr="00000000">
              <w:rPr>
                <w:b w:val="0"/>
                <w:bCs w:val="0"/>
                <w:sz w:val="18"/>
                <w:szCs w:val="18"/>
                <w:rtl w:val="0"/>
              </w:rPr>
              <w:t xml:space="preserve">Site management &amp; manpower</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2E">
            <w:pPr>
              <w:jc w:val="left"/>
              <w:rPr/>
            </w:pPr>
            <w:r w:rsidDel="00000000" w:rsidR="00000000" w:rsidRPr="00000000">
              <w:rPr>
                <w:b w:val="0"/>
                <w:bCs w:val="0"/>
                <w:sz w:val="18"/>
                <w:szCs w:val="18"/>
                <w:rtl w:val="0"/>
              </w:rPr>
              <w:t xml:space="preserve">0.2-0.4%</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2F">
            <w:pPr>
              <w:jc w:val="left"/>
              <w:rPr/>
            </w:pPr>
            <w:r w:rsidDel="00000000" w:rsidR="00000000" w:rsidRPr="00000000">
              <w:rPr>
                <w:b w:val="0"/>
                <w:bCs w:val="0"/>
                <w:sz w:val="18"/>
                <w:szCs w:val="18"/>
                <w:rtl w:val="0"/>
              </w:rPr>
              <w:t xml:space="preserve">On-site technicians, security, administration</w:t>
            </w:r>
            <w:r w:rsidDel="00000000" w:rsidR="00000000" w:rsidRPr="00000000">
              <w:rPr>
                <w:rtl w:val="0"/>
              </w:rPr>
            </w:r>
          </w:p>
        </w:tc>
      </w:tr>
      <w:tr>
        <w:trPr>
          <w:cantSplit w:val="0"/>
          <w:tblHeader w:val="0"/>
        </w:trPr>
        <w:tc>
          <w:tcPr>
            <w:shd w:fill="e8eef3" w:val="clear"/>
            <w:tcMar>
              <w:top w:w="80.0" w:type="dxa"/>
              <w:left w:w="100.0" w:type="dxa"/>
              <w:bottom w:w="80.0" w:type="dxa"/>
              <w:right w:w="100.0" w:type="dxa"/>
            </w:tcMar>
            <w:vAlign w:val="center"/>
          </w:tcPr>
          <w:p w:rsidR="00000000" w:rsidDel="00000000" w:rsidP="00000000" w:rsidRDefault="00000000" w:rsidRPr="00000000" w14:paraId="00000130">
            <w:pPr>
              <w:jc w:val="left"/>
              <w:rPr/>
            </w:pPr>
            <w:r w:rsidDel="00000000" w:rsidR="00000000" w:rsidRPr="00000000">
              <w:rPr>
                <w:b w:val="0"/>
                <w:bCs w:val="0"/>
                <w:sz w:val="18"/>
                <w:szCs w:val="18"/>
                <w:rtl w:val="0"/>
              </w:rPr>
              <w:t xml:space="preserve">Augmentation reserve</w:t>
            </w:r>
            <w:r w:rsidDel="00000000" w:rsidR="00000000" w:rsidRPr="00000000">
              <w:rPr>
                <w:rtl w:val="0"/>
              </w:rPr>
            </w:r>
          </w:p>
        </w:tc>
        <w:tc>
          <w:tcPr>
            <w:shd w:fill="e8eef3" w:val="clear"/>
            <w:tcMar>
              <w:top w:w="80.0" w:type="dxa"/>
              <w:left w:w="100.0" w:type="dxa"/>
              <w:bottom w:w="80.0" w:type="dxa"/>
              <w:right w:w="100.0" w:type="dxa"/>
            </w:tcMar>
            <w:vAlign w:val="center"/>
          </w:tcPr>
          <w:p w:rsidR="00000000" w:rsidDel="00000000" w:rsidP="00000000" w:rsidRDefault="00000000" w:rsidRPr="00000000" w14:paraId="00000131">
            <w:pPr>
              <w:jc w:val="left"/>
              <w:rPr/>
            </w:pPr>
            <w:r w:rsidDel="00000000" w:rsidR="00000000" w:rsidRPr="00000000">
              <w:rPr>
                <w:b w:val="0"/>
                <w:bCs w:val="0"/>
                <w:sz w:val="18"/>
                <w:szCs w:val="18"/>
                <w:rtl w:val="0"/>
              </w:rPr>
              <w:t xml:space="preserve">0.2-0.3%</w:t>
            </w:r>
            <w:r w:rsidDel="00000000" w:rsidR="00000000" w:rsidRPr="00000000">
              <w:rPr>
                <w:rtl w:val="0"/>
              </w:rPr>
            </w:r>
          </w:p>
        </w:tc>
        <w:tc>
          <w:tcPr>
            <w:shd w:fill="e8eef3" w:val="clear"/>
            <w:tcMar>
              <w:top w:w="80.0" w:type="dxa"/>
              <w:left w:w="100.0" w:type="dxa"/>
              <w:bottom w:w="80.0" w:type="dxa"/>
              <w:right w:w="100.0" w:type="dxa"/>
            </w:tcMar>
            <w:vAlign w:val="center"/>
          </w:tcPr>
          <w:p w:rsidR="00000000" w:rsidDel="00000000" w:rsidP="00000000" w:rsidRDefault="00000000" w:rsidRPr="00000000" w14:paraId="00000132">
            <w:pPr>
              <w:jc w:val="left"/>
              <w:rPr/>
            </w:pPr>
            <w:r w:rsidDel="00000000" w:rsidR="00000000" w:rsidRPr="00000000">
              <w:rPr>
                <w:b w:val="0"/>
                <w:bCs w:val="0"/>
                <w:sz w:val="18"/>
                <w:szCs w:val="18"/>
                <w:rtl w:val="0"/>
              </w:rPr>
              <w:t xml:space="preserve">Planned capacity top-ups to offset calendar/cycle degradation</w:t>
            </w:r>
            <w:r w:rsidDel="00000000" w:rsidR="00000000" w:rsidRPr="00000000">
              <w:rPr>
                <w:rtl w:val="0"/>
              </w:rPr>
            </w:r>
          </w:p>
        </w:tc>
      </w:tr>
      <w:tr>
        <w:trPr>
          <w:cantSplit w:val="0"/>
          <w:tblHeader w:val="0"/>
        </w:trPr>
        <w:tc>
          <w:tcPr>
            <w:shd w:fill="eaf3ee" w:val="clear"/>
            <w:tcMar>
              <w:top w:w="80.0" w:type="dxa"/>
              <w:left w:w="100.0" w:type="dxa"/>
              <w:bottom w:w="80.0" w:type="dxa"/>
              <w:right w:w="100.0" w:type="dxa"/>
            </w:tcMar>
            <w:vAlign w:val="center"/>
          </w:tcPr>
          <w:p w:rsidR="00000000" w:rsidDel="00000000" w:rsidP="00000000" w:rsidRDefault="00000000" w:rsidRPr="00000000" w14:paraId="00000133">
            <w:pPr>
              <w:jc w:val="left"/>
              <w:rPr/>
            </w:pPr>
            <w:r w:rsidDel="00000000" w:rsidR="00000000" w:rsidRPr="00000000">
              <w:rPr>
                <w:b w:val="1"/>
                <w:bCs w:val="1"/>
                <w:sz w:val="18"/>
                <w:szCs w:val="18"/>
                <w:rtl w:val="0"/>
              </w:rPr>
              <w:t xml:space="preserve">Total typical O&amp;M</w:t>
            </w:r>
            <w:r w:rsidDel="00000000" w:rsidR="00000000" w:rsidRPr="00000000">
              <w:rPr>
                <w:rtl w:val="0"/>
              </w:rPr>
            </w:r>
          </w:p>
        </w:tc>
        <w:tc>
          <w:tcPr>
            <w:shd w:fill="eaf3ee" w:val="clear"/>
            <w:tcMar>
              <w:top w:w="80.0" w:type="dxa"/>
              <w:left w:w="100.0" w:type="dxa"/>
              <w:bottom w:w="80.0" w:type="dxa"/>
              <w:right w:w="100.0" w:type="dxa"/>
            </w:tcMar>
            <w:vAlign w:val="center"/>
          </w:tcPr>
          <w:p w:rsidR="00000000" w:rsidDel="00000000" w:rsidP="00000000" w:rsidRDefault="00000000" w:rsidRPr="00000000" w14:paraId="00000134">
            <w:pPr>
              <w:jc w:val="left"/>
              <w:rPr/>
            </w:pPr>
            <w:r w:rsidDel="00000000" w:rsidR="00000000" w:rsidRPr="00000000">
              <w:rPr>
                <w:b w:val="1"/>
                <w:bCs w:val="1"/>
                <w:sz w:val="18"/>
                <w:szCs w:val="18"/>
                <w:rtl w:val="0"/>
              </w:rPr>
              <w:t xml:space="preserve">1.5-2.5%</w:t>
            </w:r>
            <w:r w:rsidDel="00000000" w:rsidR="00000000" w:rsidRPr="00000000">
              <w:rPr>
                <w:rtl w:val="0"/>
              </w:rPr>
            </w:r>
          </w:p>
        </w:tc>
        <w:tc>
          <w:tcPr>
            <w:shd w:fill="eaf3ee" w:val="clear"/>
            <w:tcMar>
              <w:top w:w="80.0" w:type="dxa"/>
              <w:left w:w="100.0" w:type="dxa"/>
              <w:bottom w:w="80.0" w:type="dxa"/>
              <w:right w:w="100.0" w:type="dxa"/>
            </w:tcMar>
            <w:vAlign w:val="center"/>
          </w:tcPr>
          <w:p w:rsidR="00000000" w:rsidDel="00000000" w:rsidP="00000000" w:rsidRDefault="00000000" w:rsidRPr="00000000" w14:paraId="00000135">
            <w:pPr>
              <w:jc w:val="left"/>
              <w:rPr/>
            </w:pPr>
            <w:r w:rsidDel="00000000" w:rsidR="00000000" w:rsidRPr="00000000">
              <w:rPr>
                <w:b w:val="1"/>
                <w:bCs w:val="1"/>
                <w:sz w:val="18"/>
                <w:szCs w:val="18"/>
                <w:rtl w:val="0"/>
              </w:rPr>
              <w:t xml:space="preserve">Industry benchmark; top-performing fleets target 1.2-1.5% via predictive, remote-first O&amp;M</w:t>
            </w:r>
            <w:r w:rsidDel="00000000" w:rsidR="00000000" w:rsidRPr="00000000">
              <w:rPr>
                <w:rtl w:val="0"/>
              </w:rPr>
            </w:r>
          </w:p>
        </w:tc>
      </w:tr>
    </w:tbl>
    <w:p w:rsidR="00000000" w:rsidDel="00000000" w:rsidP="00000000" w:rsidRDefault="00000000" w:rsidRPr="00000000" w14:paraId="00000136">
      <w:pPr>
        <w:spacing w:after="120" w:lineRule="auto"/>
        <w:rPr/>
      </w:pPr>
      <w:r w:rsidDel="00000000" w:rsidR="00000000" w:rsidRPr="00000000">
        <w:rPr>
          <w:rtl w:val="0"/>
        </w:rPr>
      </w:r>
    </w:p>
    <w:p w:rsidR="00000000" w:rsidDel="00000000" w:rsidP="00000000" w:rsidRDefault="00000000" w:rsidRPr="00000000" w14:paraId="00000137">
      <w:pPr>
        <w:spacing w:after="200" w:before="100" w:lineRule="auto"/>
        <w:rPr/>
      </w:pPr>
      <w:r w:rsidDel="00000000" w:rsidR="00000000" w:rsidRPr="00000000">
        <w:rPr>
          <w:i w:val="1"/>
          <w:iCs w:val="1"/>
          <w:sz w:val="17"/>
          <w:szCs w:val="17"/>
          <w:rtl w:val="0"/>
        </w:rPr>
        <w:t xml:space="preserve">Source: NextG Power O&amp;M benchmarking; Sandia National Laboratories cost model literature</w:t>
      </w:r>
      <w:r w:rsidDel="00000000" w:rsidR="00000000" w:rsidRPr="00000000">
        <w:rPr>
          <w:rtl w:val="0"/>
        </w:rPr>
      </w:r>
    </w:p>
    <w:p w:rsidR="00000000" w:rsidDel="00000000" w:rsidP="00000000" w:rsidRDefault="00000000" w:rsidRPr="00000000" w14:paraId="00000138">
      <w:pPr>
        <w:pStyle w:val="Heading2"/>
        <w:spacing w:after="120" w:before="240" w:lineRule="auto"/>
        <w:rPr>
          <w:b w:val="1"/>
          <w:bCs w:val="1"/>
          <w:color w:val="000000"/>
        </w:rPr>
      </w:pPr>
      <w:r w:rsidDel="00000000" w:rsidR="00000000" w:rsidRPr="00000000">
        <w:rPr>
          <w:rtl w:val="0"/>
        </w:rPr>
      </w:r>
    </w:p>
    <w:p w:rsidR="00000000" w:rsidDel="00000000" w:rsidP="00000000" w:rsidRDefault="00000000" w:rsidRPr="00000000" w14:paraId="00000139">
      <w:pPr>
        <w:pStyle w:val="Heading2"/>
        <w:spacing w:after="120" w:before="240" w:lineRule="auto"/>
        <w:jc w:val="both"/>
        <w:rPr>
          <w:color w:val="000000"/>
        </w:rPr>
      </w:pPr>
      <w:r w:rsidDel="00000000" w:rsidR="00000000" w:rsidRPr="00000000">
        <w:rPr>
          <w:b w:val="1"/>
          <w:bCs w:val="1"/>
          <w:color w:val="000000"/>
          <w:sz w:val="26"/>
          <w:szCs w:val="26"/>
          <w:rtl w:val="0"/>
        </w:rPr>
        <w:t xml:space="preserve">Project Economics: IRR, Tariffs &amp; Payback</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Lender expectations: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Financing conditions for standalone BESS remain conservative, with lenders typically expecting internal rates of return (IRR) in the 15-20% range before committing debt.</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Merchant upside: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New battery projects commissioned in 2025 could deliver IRRs of around 17% by participating in power exchanges alone. Combining Day</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Ahead Market (DAM) arbitrage (roughly 80-85% of merchant revenue) with ancillary/grid</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balancing services (the remaining 15-20%) can push IRRs toward roughly 24% under optimistic assumptions a meaningfully better outlook than the tender</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only model implied by the Investment Trends section.</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Tender tariff compression: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Standalone BESS tariffs have fallen </w:t>
      </w:r>
      <w:r w:rsidDel="00000000" w:rsidR="00000000" w:rsidRPr="00000000">
        <w:rPr>
          <w:rtl w:val="0"/>
        </w:rPr>
        <w:t xml:space="preserve">sharply; the</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lowest 2025 discovered tariff reached ₹1.48 lakh/MW</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month versus an indicative ₹2.3 lakh/MW</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month benchmark for the year. Tariffs fell over 71% between 2022 and 2025, far outpacing the 36% decline in underlying battery pack prices, so nearly 75% of allocated 2-hour standalone capacity now sits in an </w:t>
      </w:r>
      <w:r w:rsidDel="00000000" w:rsidR="00000000" w:rsidRPr="00000000">
        <w:rPr>
          <w:rtl w:val="0"/>
        </w:rPr>
        <w:t xml:space="preserve">at-risk</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viability category.</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Payback implication: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Because tender tariffs are compressing faster than hardware costs, payback for tender-backed standalone projects is stretching even as merchant</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market payback improves reinforcing why lenders continue to price in the higher end of the IRR range and why the pending SPPA framework (see Tariff Design &amp; Revenue Models) matters for bankability.</w:t>
      </w:r>
      <w:r w:rsidDel="00000000" w:rsidR="00000000" w:rsidRPr="00000000">
        <w:rPr>
          <w:rtl w:val="0"/>
        </w:rPr>
      </w:r>
    </w:p>
    <w:p w:rsidR="00000000" w:rsidDel="00000000" w:rsidP="00000000" w:rsidRDefault="00000000" w:rsidRPr="00000000" w14:paraId="0000013E">
      <w:pPr>
        <w:spacing w:after="200" w:before="100" w:lineRule="auto"/>
        <w:jc w:val="both"/>
        <w:rPr/>
      </w:pPr>
      <w:r w:rsidDel="00000000" w:rsidR="00000000" w:rsidRPr="00000000">
        <w:rPr>
          <w:i w:val="1"/>
          <w:iCs w:val="1"/>
          <w:sz w:val="17"/>
          <w:szCs w:val="17"/>
          <w:rtl w:val="0"/>
        </w:rPr>
        <w:t xml:space="preserve">Source: Ember, "The Age of Storage: Batteries Primed for India's Power Markets"; IEEFA/JMK Research, "Viability of Standalone BESS Tariffs Discovered in 2025"</w:t>
      </w:r>
      <w:r w:rsidDel="00000000" w:rsidR="00000000" w:rsidRPr="00000000">
        <w:rPr>
          <w:rtl w:val="0"/>
        </w:rPr>
      </w:r>
    </w:p>
    <w:p w:rsidR="00000000" w:rsidDel="00000000" w:rsidP="00000000" w:rsidRDefault="00000000" w:rsidRPr="00000000" w14:paraId="0000013F">
      <w:pPr>
        <w:pStyle w:val="Heading2"/>
        <w:spacing w:after="120" w:before="240" w:lineRule="auto"/>
        <w:jc w:val="both"/>
        <w:rPr>
          <w:color w:val="000000"/>
        </w:rPr>
      </w:pPr>
      <w:r w:rsidDel="00000000" w:rsidR="00000000" w:rsidRPr="00000000">
        <w:rPr>
          <w:b w:val="1"/>
          <w:bCs w:val="1"/>
          <w:color w:val="000000"/>
          <w:sz w:val="26"/>
          <w:szCs w:val="26"/>
          <w:rtl w:val="0"/>
        </w:rPr>
        <w:t xml:space="preserve">Levelised Cost of Storage (LCOS)</w:t>
      </w:r>
      <w:r w:rsidDel="00000000" w:rsidR="00000000" w:rsidRPr="00000000">
        <w:rPr>
          <w:rtl w:val="0"/>
        </w:rPr>
      </w:r>
    </w:p>
    <w:p w:rsidR="00000000" w:rsidDel="00000000" w:rsidP="00000000" w:rsidRDefault="00000000" w:rsidRPr="00000000" w14:paraId="00000140">
      <w:pPr>
        <w:spacing w:after="120" w:lineRule="auto"/>
        <w:jc w:val="both"/>
        <w:rPr/>
      </w:pPr>
      <w:r w:rsidDel="00000000" w:rsidR="00000000" w:rsidRPr="00000000">
        <w:rPr>
          <w:i w:val="0"/>
          <w:iCs w:val="0"/>
          <w:sz w:val="21"/>
          <w:szCs w:val="21"/>
          <w:rtl w:val="0"/>
        </w:rPr>
        <w:t xml:space="preserve">LCOS the total lifecycle cost of a BESS divided by total energy throughput over its operating life is the correct like</w:t>
      </w:r>
      <w:r w:rsidDel="00000000" w:rsidR="00000000" w:rsidRPr="00000000">
        <w:rPr>
          <w:rtl w:val="0"/>
        </w:rPr>
        <w:t xml:space="preserve"> </w:t>
      </w:r>
      <w:r w:rsidDel="00000000" w:rsidR="00000000" w:rsidRPr="00000000">
        <w:rPr>
          <w:i w:val="0"/>
          <w:iCs w:val="0"/>
          <w:sz w:val="21"/>
          <w:szCs w:val="21"/>
          <w:rtl w:val="0"/>
        </w:rPr>
        <w:t xml:space="preserve">for</w:t>
      </w:r>
      <w:r w:rsidDel="00000000" w:rsidR="00000000" w:rsidRPr="00000000">
        <w:rPr>
          <w:rtl w:val="0"/>
        </w:rPr>
        <w:t xml:space="preserve"> </w:t>
      </w:r>
      <w:r w:rsidDel="00000000" w:rsidR="00000000" w:rsidRPr="00000000">
        <w:rPr>
          <w:i w:val="0"/>
          <w:iCs w:val="0"/>
          <w:sz w:val="21"/>
          <w:szCs w:val="21"/>
          <w:rtl w:val="0"/>
        </w:rPr>
        <w:t xml:space="preserve">like metric for comparing storage economics, since it captures CapEx, financing, O&amp;M, degradation, and end</w:t>
      </w:r>
      <w:r w:rsidDel="00000000" w:rsidR="00000000" w:rsidRPr="00000000">
        <w:rPr>
          <w:rtl w:val="0"/>
        </w:rPr>
        <w:t xml:space="preserve"> </w:t>
      </w:r>
      <w:r w:rsidDel="00000000" w:rsidR="00000000" w:rsidRPr="00000000">
        <w:rPr>
          <w:i w:val="0"/>
          <w:iCs w:val="0"/>
          <w:sz w:val="21"/>
          <w:szCs w:val="21"/>
          <w:rtl w:val="0"/>
        </w:rPr>
        <w:t xml:space="preserve">of</w:t>
      </w:r>
      <w:r w:rsidDel="00000000" w:rsidR="00000000" w:rsidRPr="00000000">
        <w:rPr>
          <w:rtl w:val="0"/>
        </w:rPr>
        <w:t xml:space="preserve"> </w:t>
      </w:r>
      <w:r w:rsidDel="00000000" w:rsidR="00000000" w:rsidRPr="00000000">
        <w:rPr>
          <w:i w:val="0"/>
          <w:iCs w:val="0"/>
          <w:sz w:val="21"/>
          <w:szCs w:val="21"/>
          <w:rtl w:val="0"/>
        </w:rPr>
        <w:t xml:space="preserve">life decommissioning in a single figure. Falling cell prices are the single biggest lever: global battery storage costs dropped from about $100/kWh in 2024 toward under $90/kWh in 2025 (see Global Market Overview), and this pass</w:t>
      </w:r>
      <w:r w:rsidDel="00000000" w:rsidR="00000000" w:rsidRPr="00000000">
        <w:rPr>
          <w:rtl w:val="0"/>
        </w:rPr>
        <w:t xml:space="preserve"> </w:t>
      </w:r>
      <w:r w:rsidDel="00000000" w:rsidR="00000000" w:rsidRPr="00000000">
        <w:rPr>
          <w:i w:val="0"/>
          <w:iCs w:val="0"/>
          <w:sz w:val="21"/>
          <w:szCs w:val="21"/>
          <w:rtl w:val="0"/>
        </w:rPr>
        <w:t xml:space="preserve">through is the main reason co-located BESS</w:t>
      </w:r>
      <w:r w:rsidDel="00000000" w:rsidR="00000000" w:rsidRPr="00000000">
        <w:rPr>
          <w:rtl w:val="0"/>
        </w:rPr>
        <w:t xml:space="preserve"> </w:t>
      </w:r>
      <w:r w:rsidDel="00000000" w:rsidR="00000000" w:rsidRPr="00000000">
        <w:rPr>
          <w:i w:val="0"/>
          <w:iCs w:val="0"/>
          <w:sz w:val="21"/>
          <w:szCs w:val="21"/>
          <w:rtl w:val="0"/>
        </w:rPr>
        <w:t xml:space="preserve">plus</w:t>
      </w:r>
      <w:r w:rsidDel="00000000" w:rsidR="00000000" w:rsidRPr="00000000">
        <w:rPr>
          <w:rtl w:val="0"/>
        </w:rPr>
        <w:t xml:space="preserve"> </w:t>
      </w:r>
      <w:r w:rsidDel="00000000" w:rsidR="00000000" w:rsidRPr="00000000">
        <w:rPr>
          <w:i w:val="0"/>
          <w:iCs w:val="0"/>
          <w:sz w:val="21"/>
          <w:szCs w:val="21"/>
          <w:rtl w:val="0"/>
        </w:rPr>
        <w:t xml:space="preserve">renewable tariffs have fallen below gas-peaker costs in India.</w:t>
      </w:r>
      <w:r w:rsidDel="00000000" w:rsidR="00000000" w:rsidRPr="00000000">
        <w:rPr>
          <w:rtl w:val="0"/>
        </w:rPr>
      </w:r>
    </w:p>
    <w:p w:rsidR="00000000" w:rsidDel="00000000" w:rsidP="00000000" w:rsidRDefault="00000000" w:rsidRPr="00000000" w14:paraId="00000141">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42">
      <w:pPr>
        <w:spacing w:after="40" w:before="200" w:lineRule="auto"/>
        <w:rPr/>
      </w:pPr>
      <w:r w:rsidDel="00000000" w:rsidR="00000000" w:rsidRPr="00000000">
        <w:rPr>
          <w:rtl w:val="0"/>
        </w:rPr>
      </w:r>
    </w:p>
    <w:p w:rsidR="00000000" w:rsidDel="00000000" w:rsidP="00000000" w:rsidRDefault="00000000" w:rsidRPr="00000000" w14:paraId="00000143">
      <w:pPr>
        <w:pStyle w:val="Heading1"/>
        <w:pBdr>
          <w:bottom w:color="2e8b57" w:space="6" w:sz="8" w:val="single"/>
        </w:pBdr>
        <w:spacing w:after="200" w:before="0" w:lineRule="auto"/>
        <w:jc w:val="both"/>
        <w:rPr>
          <w:color w:val="000000"/>
        </w:rPr>
      </w:pPr>
      <w:r w:rsidDel="00000000" w:rsidR="00000000" w:rsidRPr="00000000">
        <w:rPr>
          <w:b w:val="1"/>
          <w:bCs w:val="1"/>
          <w:color w:val="000000"/>
          <w:sz w:val="32"/>
          <w:szCs w:val="32"/>
          <w:rtl w:val="0"/>
        </w:rPr>
        <w:t xml:space="preserve">Competitive Landscape &amp; Key Players</w:t>
      </w:r>
      <w:r w:rsidDel="00000000" w:rsidR="00000000" w:rsidRPr="00000000">
        <w:rPr>
          <w:rtl w:val="0"/>
        </w:rPr>
      </w:r>
    </w:p>
    <w:p w:rsidR="00000000" w:rsidDel="00000000" w:rsidP="00000000" w:rsidRDefault="00000000" w:rsidRPr="00000000" w14:paraId="00000144">
      <w:pPr>
        <w:spacing w:after="120" w:lineRule="auto"/>
        <w:jc w:val="both"/>
        <w:rPr/>
      </w:pPr>
      <w:r w:rsidDel="00000000" w:rsidR="00000000" w:rsidRPr="00000000">
        <w:rPr>
          <w:i w:val="0"/>
          <w:iCs w:val="0"/>
          <w:sz w:val="21"/>
          <w:szCs w:val="21"/>
          <w:rtl w:val="0"/>
        </w:rPr>
        <w:t xml:space="preserve">India's BESS market spans integrated utilities, pure</w:t>
      </w:r>
      <w:r w:rsidDel="00000000" w:rsidR="00000000" w:rsidRPr="00000000">
        <w:rPr>
          <w:rtl w:val="0"/>
        </w:rPr>
        <w:t xml:space="preserve"> </w:t>
      </w:r>
      <w:r w:rsidDel="00000000" w:rsidR="00000000" w:rsidRPr="00000000">
        <w:rPr>
          <w:i w:val="0"/>
          <w:iCs w:val="0"/>
          <w:sz w:val="21"/>
          <w:szCs w:val="21"/>
          <w:rtl w:val="0"/>
        </w:rPr>
        <w:t xml:space="preserve">play cell/pack manufacturers, EPC contractors, and global technology partners. Bankability and execution track </w:t>
      </w:r>
      <w:r w:rsidDel="00000000" w:rsidR="00000000" w:rsidRPr="00000000">
        <w:rPr>
          <w:rtl w:val="0"/>
        </w:rPr>
        <w:t xml:space="preserve">record, not</w:t>
      </w:r>
      <w:r w:rsidDel="00000000" w:rsidR="00000000" w:rsidRPr="00000000">
        <w:rPr>
          <w:i w:val="0"/>
          <w:iCs w:val="0"/>
          <w:sz w:val="21"/>
          <w:szCs w:val="21"/>
          <w:rtl w:val="0"/>
        </w:rPr>
        <w:t xml:space="preserve"> just pipeline </w:t>
      </w:r>
      <w:r w:rsidDel="00000000" w:rsidR="00000000" w:rsidRPr="00000000">
        <w:rPr>
          <w:rtl w:val="0"/>
        </w:rPr>
        <w:t xml:space="preserve">announcements, increasingly</w:t>
      </w:r>
      <w:r w:rsidDel="00000000" w:rsidR="00000000" w:rsidRPr="00000000">
        <w:rPr>
          <w:i w:val="0"/>
          <w:iCs w:val="0"/>
          <w:sz w:val="21"/>
          <w:szCs w:val="21"/>
          <w:rtl w:val="0"/>
        </w:rPr>
        <w:t xml:space="preserve"> separate leaders from the rest of the field, since BESS assets require 20-25 years of service.</w:t>
      </w: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450"/>
        <w:gridCol w:w="4300"/>
        <w:tblGridChange w:id="0">
          <w:tblGrid>
            <w:gridCol w:w="2600"/>
            <w:gridCol w:w="2450"/>
            <w:gridCol w:w="4300"/>
          </w:tblGrid>
        </w:tblGridChange>
      </w:tblGrid>
      <w:tr>
        <w:trPr>
          <w:cantSplit w:val="0"/>
          <w:tblHeader w:val="0"/>
        </w:trPr>
        <w:tc>
          <w:tcPr>
            <w:shd w:fill="1b3a57" w:val="clear"/>
            <w:tcMar>
              <w:top w:w="80.0" w:type="dxa"/>
              <w:left w:w="100.0" w:type="dxa"/>
              <w:bottom w:w="80.0" w:type="dxa"/>
              <w:right w:w="100.0" w:type="dxa"/>
            </w:tcMar>
            <w:vAlign w:val="center"/>
          </w:tcPr>
          <w:p w:rsidR="00000000" w:rsidDel="00000000" w:rsidP="00000000" w:rsidRDefault="00000000" w:rsidRPr="00000000" w14:paraId="00000145">
            <w:pPr>
              <w:jc w:val="left"/>
              <w:rPr/>
            </w:pPr>
            <w:r w:rsidDel="00000000" w:rsidR="00000000" w:rsidRPr="00000000">
              <w:rPr>
                <w:b w:val="1"/>
                <w:bCs w:val="1"/>
                <w:sz w:val="17"/>
                <w:szCs w:val="17"/>
                <w:rtl w:val="0"/>
              </w:rPr>
              <w:t xml:space="preserve">Company</w:t>
            </w:r>
            <w:r w:rsidDel="00000000" w:rsidR="00000000" w:rsidRPr="00000000">
              <w:rPr>
                <w:rtl w:val="0"/>
              </w:rPr>
            </w:r>
          </w:p>
        </w:tc>
        <w:tc>
          <w:tcPr>
            <w:shd w:fill="1b3a57" w:val="clear"/>
            <w:tcMar>
              <w:top w:w="80.0" w:type="dxa"/>
              <w:left w:w="100.0" w:type="dxa"/>
              <w:bottom w:w="80.0" w:type="dxa"/>
              <w:right w:w="100.0" w:type="dxa"/>
            </w:tcMar>
            <w:vAlign w:val="center"/>
          </w:tcPr>
          <w:p w:rsidR="00000000" w:rsidDel="00000000" w:rsidP="00000000" w:rsidRDefault="00000000" w:rsidRPr="00000000" w14:paraId="00000146">
            <w:pPr>
              <w:jc w:val="left"/>
              <w:rPr/>
            </w:pPr>
            <w:r w:rsidDel="00000000" w:rsidR="00000000" w:rsidRPr="00000000">
              <w:rPr>
                <w:b w:val="1"/>
                <w:bCs w:val="1"/>
                <w:sz w:val="17"/>
                <w:szCs w:val="17"/>
                <w:rtl w:val="0"/>
              </w:rPr>
              <w:t xml:space="preserve">Primary Role / Segment</w:t>
            </w:r>
            <w:r w:rsidDel="00000000" w:rsidR="00000000" w:rsidRPr="00000000">
              <w:rPr>
                <w:rtl w:val="0"/>
              </w:rPr>
            </w:r>
          </w:p>
        </w:tc>
        <w:tc>
          <w:tcPr>
            <w:shd w:fill="1b3a57" w:val="clear"/>
            <w:tcMar>
              <w:top w:w="80.0" w:type="dxa"/>
              <w:left w:w="100.0" w:type="dxa"/>
              <w:bottom w:w="80.0" w:type="dxa"/>
              <w:right w:w="100.0" w:type="dxa"/>
            </w:tcMar>
            <w:vAlign w:val="center"/>
          </w:tcPr>
          <w:p w:rsidR="00000000" w:rsidDel="00000000" w:rsidP="00000000" w:rsidRDefault="00000000" w:rsidRPr="00000000" w14:paraId="00000147">
            <w:pPr>
              <w:jc w:val="left"/>
              <w:rPr/>
            </w:pPr>
            <w:r w:rsidDel="00000000" w:rsidR="00000000" w:rsidRPr="00000000">
              <w:rPr>
                <w:b w:val="1"/>
                <w:bCs w:val="1"/>
                <w:sz w:val="17"/>
                <w:szCs w:val="17"/>
                <w:rtl w:val="0"/>
              </w:rPr>
              <w:t xml:space="preserve">Key Highlight</w:t>
            </w:r>
            <w:r w:rsidDel="00000000" w:rsidR="00000000" w:rsidRPr="00000000">
              <w:rPr>
                <w:rtl w:val="0"/>
              </w:rPr>
            </w:r>
          </w:p>
        </w:tc>
      </w:tr>
      <w:tr>
        <w:trPr>
          <w:cantSplit w:val="0"/>
          <w:tblHeader w:val="0"/>
        </w:trPr>
        <w:tc>
          <w:tcPr>
            <w:shd w:fill="e8eef3" w:val="clear"/>
            <w:tcMar>
              <w:top w:w="80.0" w:type="dxa"/>
              <w:left w:w="100.0" w:type="dxa"/>
              <w:bottom w:w="80.0" w:type="dxa"/>
              <w:right w:w="100.0" w:type="dxa"/>
            </w:tcMar>
            <w:vAlign w:val="center"/>
          </w:tcPr>
          <w:p w:rsidR="00000000" w:rsidDel="00000000" w:rsidP="00000000" w:rsidRDefault="00000000" w:rsidRPr="00000000" w14:paraId="00000148">
            <w:pPr>
              <w:jc w:val="left"/>
              <w:rPr/>
            </w:pPr>
            <w:r w:rsidDel="00000000" w:rsidR="00000000" w:rsidRPr="00000000">
              <w:rPr>
                <w:b w:val="0"/>
                <w:bCs w:val="0"/>
                <w:sz w:val="17"/>
                <w:szCs w:val="17"/>
                <w:rtl w:val="0"/>
              </w:rPr>
              <w:t xml:space="preserve">Tata Power (incl. Agratas JV)</w:t>
            </w:r>
            <w:r w:rsidDel="00000000" w:rsidR="00000000" w:rsidRPr="00000000">
              <w:rPr>
                <w:rtl w:val="0"/>
              </w:rPr>
            </w:r>
          </w:p>
        </w:tc>
        <w:tc>
          <w:tcPr>
            <w:shd w:fill="e8eef3" w:val="clear"/>
            <w:tcMar>
              <w:top w:w="80.0" w:type="dxa"/>
              <w:left w:w="100.0" w:type="dxa"/>
              <w:bottom w:w="80.0" w:type="dxa"/>
              <w:right w:w="100.0" w:type="dxa"/>
            </w:tcMar>
            <w:vAlign w:val="center"/>
          </w:tcPr>
          <w:p w:rsidR="00000000" w:rsidDel="00000000" w:rsidP="00000000" w:rsidRDefault="00000000" w:rsidRPr="00000000" w14:paraId="00000149">
            <w:pPr>
              <w:jc w:val="left"/>
              <w:rPr/>
            </w:pPr>
            <w:r w:rsidDel="00000000" w:rsidR="00000000" w:rsidRPr="00000000">
              <w:rPr>
                <w:b w:val="0"/>
                <w:bCs w:val="0"/>
                <w:sz w:val="17"/>
                <w:szCs w:val="17"/>
                <w:rtl w:val="0"/>
              </w:rPr>
              <w:t xml:space="preserve">Integrated generation + storage developer</w:t>
            </w:r>
            <w:r w:rsidDel="00000000" w:rsidR="00000000" w:rsidRPr="00000000">
              <w:rPr>
                <w:rtl w:val="0"/>
              </w:rPr>
            </w:r>
          </w:p>
        </w:tc>
        <w:tc>
          <w:tcPr>
            <w:shd w:fill="e8eef3" w:val="clear"/>
            <w:tcMar>
              <w:top w:w="80.0" w:type="dxa"/>
              <w:left w:w="100.0" w:type="dxa"/>
              <w:bottom w:w="80.0" w:type="dxa"/>
              <w:right w:w="100.0" w:type="dxa"/>
            </w:tcMar>
            <w:vAlign w:val="center"/>
          </w:tcPr>
          <w:p w:rsidR="00000000" w:rsidDel="00000000" w:rsidP="00000000" w:rsidRDefault="00000000" w:rsidRPr="00000000" w14:paraId="0000014A">
            <w:pPr>
              <w:jc w:val="left"/>
              <w:rPr/>
            </w:pPr>
            <w:r w:rsidDel="00000000" w:rsidR="00000000" w:rsidRPr="00000000">
              <w:rPr>
                <w:b w:val="0"/>
                <w:bCs w:val="0"/>
                <w:sz w:val="17"/>
                <w:szCs w:val="17"/>
                <w:rtl w:val="0"/>
              </w:rPr>
              <w:t xml:space="preserve">Most vertically integrated player; largest solar+BESS site at Rajnandgaon, Chhattisgarh; ~₹49,000 Cr renewable + storage investment plan in Andhra Pradesh (2026)</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14B">
            <w:pPr>
              <w:jc w:val="left"/>
              <w:rPr/>
            </w:pPr>
            <w:r w:rsidDel="00000000" w:rsidR="00000000" w:rsidRPr="00000000">
              <w:rPr>
                <w:b w:val="0"/>
                <w:bCs w:val="0"/>
                <w:sz w:val="17"/>
                <w:szCs w:val="17"/>
                <w:rtl w:val="0"/>
              </w:rPr>
              <w:t xml:space="preserve">Adani Energy Solutions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4C">
            <w:pPr>
              <w:jc w:val="left"/>
              <w:rPr/>
            </w:pPr>
            <w:r w:rsidDel="00000000" w:rsidR="00000000" w:rsidRPr="00000000">
              <w:rPr>
                <w:b w:val="0"/>
                <w:bCs w:val="0"/>
                <w:sz w:val="17"/>
                <w:szCs w:val="17"/>
                <w:rtl w:val="0"/>
              </w:rPr>
              <w:t xml:space="preserve">Utility</w:t>
            </w:r>
            <w:r w:rsidDel="00000000" w:rsidR="00000000" w:rsidRPr="00000000">
              <w:rPr>
                <w:sz w:val="17"/>
                <w:szCs w:val="17"/>
                <w:rtl w:val="0"/>
              </w:rPr>
              <w:t xml:space="preserve"> </w:t>
            </w:r>
            <w:r w:rsidDel="00000000" w:rsidR="00000000" w:rsidRPr="00000000">
              <w:rPr>
                <w:b w:val="0"/>
                <w:bCs w:val="0"/>
                <w:sz w:val="17"/>
                <w:szCs w:val="17"/>
                <w:rtl w:val="0"/>
              </w:rPr>
              <w:t xml:space="preserve">scale standalone BESS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4D">
            <w:pPr>
              <w:jc w:val="left"/>
              <w:rPr/>
            </w:pPr>
            <w:r w:rsidDel="00000000" w:rsidR="00000000" w:rsidRPr="00000000">
              <w:rPr>
                <w:b w:val="0"/>
                <w:bCs w:val="0"/>
                <w:sz w:val="17"/>
                <w:szCs w:val="17"/>
                <w:rtl w:val="0"/>
              </w:rPr>
              <w:t xml:space="preserve">Leads by project scale with a 3,530 MWh flagship deployment among the world's largest single</w:t>
            </w:r>
            <w:r w:rsidDel="00000000" w:rsidR="00000000" w:rsidRPr="00000000">
              <w:rPr>
                <w:sz w:val="17"/>
                <w:szCs w:val="17"/>
                <w:rtl w:val="0"/>
              </w:rPr>
              <w:t xml:space="preserve"> </w:t>
            </w:r>
            <w:r w:rsidDel="00000000" w:rsidR="00000000" w:rsidRPr="00000000">
              <w:rPr>
                <w:b w:val="0"/>
                <w:bCs w:val="0"/>
                <w:sz w:val="17"/>
                <w:szCs w:val="17"/>
                <w:rtl w:val="0"/>
              </w:rPr>
              <w:t xml:space="preserve">site BESS projects</w:t>
            </w:r>
            <w:r w:rsidDel="00000000" w:rsidR="00000000" w:rsidRPr="00000000">
              <w:rPr>
                <w:rtl w:val="0"/>
              </w:rPr>
            </w:r>
          </w:p>
        </w:tc>
      </w:tr>
      <w:tr>
        <w:trPr>
          <w:cantSplit w:val="0"/>
          <w:tblHeader w:val="0"/>
        </w:trPr>
        <w:tc>
          <w:tcPr>
            <w:shd w:fill="e8eef3" w:val="clear"/>
            <w:tcMar>
              <w:top w:w="80.0" w:type="dxa"/>
              <w:left w:w="100.0" w:type="dxa"/>
              <w:bottom w:w="80.0" w:type="dxa"/>
              <w:right w:w="100.0" w:type="dxa"/>
            </w:tcMar>
            <w:vAlign w:val="center"/>
          </w:tcPr>
          <w:p w:rsidR="00000000" w:rsidDel="00000000" w:rsidP="00000000" w:rsidRDefault="00000000" w:rsidRPr="00000000" w14:paraId="0000014E">
            <w:pPr>
              <w:jc w:val="left"/>
              <w:rPr/>
            </w:pPr>
            <w:r w:rsidDel="00000000" w:rsidR="00000000" w:rsidRPr="00000000">
              <w:rPr>
                <w:b w:val="0"/>
                <w:bCs w:val="0"/>
                <w:sz w:val="17"/>
                <w:szCs w:val="17"/>
                <w:rtl w:val="0"/>
              </w:rPr>
              <w:t xml:space="preserve">Reliance New Energy</w:t>
            </w:r>
            <w:r w:rsidDel="00000000" w:rsidR="00000000" w:rsidRPr="00000000">
              <w:rPr>
                <w:rtl w:val="0"/>
              </w:rPr>
            </w:r>
          </w:p>
        </w:tc>
        <w:tc>
          <w:tcPr>
            <w:shd w:fill="e8eef3" w:val="clear"/>
            <w:tcMar>
              <w:top w:w="80.0" w:type="dxa"/>
              <w:left w:w="100.0" w:type="dxa"/>
              <w:bottom w:w="80.0" w:type="dxa"/>
              <w:right w:w="100.0" w:type="dxa"/>
            </w:tcMar>
            <w:vAlign w:val="center"/>
          </w:tcPr>
          <w:p w:rsidR="00000000" w:rsidDel="00000000" w:rsidP="00000000" w:rsidRDefault="00000000" w:rsidRPr="00000000" w14:paraId="0000014F">
            <w:pPr>
              <w:jc w:val="left"/>
              <w:rPr/>
            </w:pPr>
            <w:r w:rsidDel="00000000" w:rsidR="00000000" w:rsidRPr="00000000">
              <w:rPr>
                <w:b w:val="0"/>
                <w:bCs w:val="0"/>
                <w:sz w:val="17"/>
                <w:szCs w:val="17"/>
                <w:rtl w:val="0"/>
              </w:rPr>
              <w:t xml:space="preserve">Cell manufacturing + Na-ion R&amp;D</w:t>
            </w:r>
            <w:r w:rsidDel="00000000" w:rsidR="00000000" w:rsidRPr="00000000">
              <w:rPr>
                <w:rtl w:val="0"/>
              </w:rPr>
            </w:r>
          </w:p>
        </w:tc>
        <w:tc>
          <w:tcPr>
            <w:shd w:fill="e8eef3" w:val="clear"/>
            <w:tcMar>
              <w:top w:w="80.0" w:type="dxa"/>
              <w:left w:w="100.0" w:type="dxa"/>
              <w:bottom w:w="80.0" w:type="dxa"/>
              <w:right w:w="100.0" w:type="dxa"/>
            </w:tcMar>
            <w:vAlign w:val="center"/>
          </w:tcPr>
          <w:p w:rsidR="00000000" w:rsidDel="00000000" w:rsidP="00000000" w:rsidRDefault="00000000" w:rsidRPr="00000000" w14:paraId="00000150">
            <w:pPr>
              <w:jc w:val="left"/>
              <w:rPr/>
            </w:pPr>
            <w:r w:rsidDel="00000000" w:rsidR="00000000" w:rsidRPr="00000000">
              <w:rPr>
                <w:b w:val="0"/>
                <w:bCs w:val="0"/>
                <w:sz w:val="17"/>
                <w:szCs w:val="17"/>
                <w:rtl w:val="0"/>
              </w:rPr>
              <w:t xml:space="preserve">Building the Dhirubhai Ambani Green Energy Giga Complex at Jamnagar (Gujarat); Na-ion partnership with Faradion (UK)</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151">
            <w:pPr>
              <w:jc w:val="left"/>
              <w:rPr/>
            </w:pPr>
            <w:r w:rsidDel="00000000" w:rsidR="00000000" w:rsidRPr="00000000">
              <w:rPr>
                <w:b w:val="0"/>
                <w:bCs w:val="0"/>
                <w:sz w:val="17"/>
                <w:szCs w:val="17"/>
                <w:rtl w:val="0"/>
              </w:rPr>
              <w:t xml:space="preserve">Amara Raja Energy &amp; Mobility</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52">
            <w:pPr>
              <w:jc w:val="left"/>
              <w:rPr/>
            </w:pPr>
            <w:r w:rsidDel="00000000" w:rsidR="00000000" w:rsidRPr="00000000">
              <w:rPr>
                <w:b w:val="0"/>
                <w:bCs w:val="0"/>
                <w:sz w:val="17"/>
                <w:szCs w:val="17"/>
                <w:rtl w:val="0"/>
              </w:rPr>
              <w:t xml:space="preserve">LFP cell &amp; pack manufacturing</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53">
            <w:pPr>
              <w:jc w:val="left"/>
              <w:rPr/>
            </w:pPr>
            <w:r w:rsidDel="00000000" w:rsidR="00000000" w:rsidRPr="00000000">
              <w:rPr>
                <w:b w:val="0"/>
                <w:bCs w:val="0"/>
                <w:sz w:val="17"/>
                <w:szCs w:val="17"/>
                <w:rtl w:val="0"/>
              </w:rPr>
              <w:t xml:space="preserve">Telangana Giga Corridor (16 GWh cell + 5 GW pack capacity); crossed 1 GWh of cumulative lithium storage across 50,000+ telecom sites; technology tie-up with Gotion High-Tech</w:t>
            </w:r>
            <w:r w:rsidDel="00000000" w:rsidR="00000000" w:rsidRPr="00000000">
              <w:rPr>
                <w:rtl w:val="0"/>
              </w:rPr>
            </w:r>
          </w:p>
        </w:tc>
      </w:tr>
      <w:tr>
        <w:trPr>
          <w:cantSplit w:val="0"/>
          <w:tblHeader w:val="0"/>
        </w:trPr>
        <w:tc>
          <w:tcPr>
            <w:shd w:fill="e8eef3" w:val="clear"/>
            <w:tcMar>
              <w:top w:w="80.0" w:type="dxa"/>
              <w:left w:w="100.0" w:type="dxa"/>
              <w:bottom w:w="80.0" w:type="dxa"/>
              <w:right w:w="100.0" w:type="dxa"/>
            </w:tcMar>
            <w:vAlign w:val="center"/>
          </w:tcPr>
          <w:p w:rsidR="00000000" w:rsidDel="00000000" w:rsidP="00000000" w:rsidRDefault="00000000" w:rsidRPr="00000000" w14:paraId="00000154">
            <w:pPr>
              <w:jc w:val="left"/>
              <w:rPr/>
            </w:pPr>
            <w:r w:rsidDel="00000000" w:rsidR="00000000" w:rsidRPr="00000000">
              <w:rPr>
                <w:b w:val="0"/>
                <w:bCs w:val="0"/>
                <w:sz w:val="17"/>
                <w:szCs w:val="17"/>
                <w:rtl w:val="0"/>
              </w:rPr>
              <w:t xml:space="preserve">Exide Energy Solutions</w:t>
            </w:r>
            <w:r w:rsidDel="00000000" w:rsidR="00000000" w:rsidRPr="00000000">
              <w:rPr>
                <w:rtl w:val="0"/>
              </w:rPr>
            </w:r>
          </w:p>
        </w:tc>
        <w:tc>
          <w:tcPr>
            <w:shd w:fill="e8eef3" w:val="clear"/>
            <w:tcMar>
              <w:top w:w="80.0" w:type="dxa"/>
              <w:left w:w="100.0" w:type="dxa"/>
              <w:bottom w:w="80.0" w:type="dxa"/>
              <w:right w:w="100.0" w:type="dxa"/>
            </w:tcMar>
            <w:vAlign w:val="center"/>
          </w:tcPr>
          <w:p w:rsidR="00000000" w:rsidDel="00000000" w:rsidP="00000000" w:rsidRDefault="00000000" w:rsidRPr="00000000" w14:paraId="00000155">
            <w:pPr>
              <w:jc w:val="left"/>
              <w:rPr/>
            </w:pPr>
            <w:r w:rsidDel="00000000" w:rsidR="00000000" w:rsidRPr="00000000">
              <w:rPr>
                <w:b w:val="0"/>
                <w:bCs w:val="0"/>
                <w:sz w:val="17"/>
                <w:szCs w:val="17"/>
                <w:rtl w:val="0"/>
              </w:rPr>
              <w:t xml:space="preserve">Lead-acid legacy + lithium-ion pivot</w:t>
            </w:r>
            <w:r w:rsidDel="00000000" w:rsidR="00000000" w:rsidRPr="00000000">
              <w:rPr>
                <w:rtl w:val="0"/>
              </w:rPr>
            </w:r>
          </w:p>
        </w:tc>
        <w:tc>
          <w:tcPr>
            <w:shd w:fill="e8eef3" w:val="clear"/>
            <w:tcMar>
              <w:top w:w="80.0" w:type="dxa"/>
              <w:left w:w="100.0" w:type="dxa"/>
              <w:bottom w:w="80.0" w:type="dxa"/>
              <w:right w:w="100.0" w:type="dxa"/>
            </w:tcMar>
            <w:vAlign w:val="center"/>
          </w:tcPr>
          <w:p w:rsidR="00000000" w:rsidDel="00000000" w:rsidP="00000000" w:rsidRDefault="00000000" w:rsidRPr="00000000" w14:paraId="00000156">
            <w:pPr>
              <w:jc w:val="left"/>
              <w:rPr/>
            </w:pPr>
            <w:r w:rsidDel="00000000" w:rsidR="00000000" w:rsidRPr="00000000">
              <w:rPr>
                <w:b w:val="0"/>
                <w:bCs w:val="0"/>
                <w:sz w:val="17"/>
                <w:szCs w:val="17"/>
                <w:rtl w:val="0"/>
              </w:rPr>
              <w:t xml:space="preserve">Technology partnership with SVOLT for lithium-ion cell manufacturing</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157">
            <w:pPr>
              <w:jc w:val="left"/>
              <w:rPr/>
            </w:pPr>
            <w:r w:rsidDel="00000000" w:rsidR="00000000" w:rsidRPr="00000000">
              <w:rPr>
                <w:b w:val="0"/>
                <w:bCs w:val="0"/>
                <w:sz w:val="17"/>
                <w:szCs w:val="17"/>
                <w:rtl w:val="0"/>
              </w:rPr>
              <w:t xml:space="preserve">JSW Energy</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58">
            <w:pPr>
              <w:jc w:val="left"/>
              <w:rPr/>
            </w:pPr>
            <w:r w:rsidDel="00000000" w:rsidR="00000000" w:rsidRPr="00000000">
              <w:rPr>
                <w:b w:val="0"/>
                <w:bCs w:val="0"/>
                <w:sz w:val="17"/>
                <w:szCs w:val="17"/>
                <w:rtl w:val="0"/>
              </w:rPr>
              <w:t xml:space="preserve">Standalone utility</w:t>
            </w:r>
            <w:r w:rsidDel="00000000" w:rsidR="00000000" w:rsidRPr="00000000">
              <w:rPr>
                <w:sz w:val="17"/>
                <w:szCs w:val="17"/>
                <w:rtl w:val="0"/>
              </w:rPr>
              <w:t xml:space="preserve"> </w:t>
            </w:r>
            <w:r w:rsidDel="00000000" w:rsidR="00000000" w:rsidRPr="00000000">
              <w:rPr>
                <w:b w:val="0"/>
                <w:bCs w:val="0"/>
                <w:sz w:val="17"/>
                <w:szCs w:val="17"/>
                <w:rtl w:val="0"/>
              </w:rPr>
              <w:t xml:space="preserve">scale BESS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59">
            <w:pPr>
              <w:jc w:val="left"/>
              <w:rPr/>
            </w:pPr>
            <w:r w:rsidDel="00000000" w:rsidR="00000000" w:rsidRPr="00000000">
              <w:rPr>
                <w:b w:val="0"/>
                <w:bCs w:val="0"/>
                <w:sz w:val="17"/>
                <w:szCs w:val="17"/>
                <w:rtl w:val="0"/>
              </w:rPr>
              <w:t xml:space="preserve">500 MW/1,000 MWh SECI/NTPC standalone tender award; technology tie-up with LG Energy Solution</w:t>
            </w:r>
            <w:r w:rsidDel="00000000" w:rsidR="00000000" w:rsidRPr="00000000">
              <w:rPr>
                <w:rtl w:val="0"/>
              </w:rPr>
            </w:r>
          </w:p>
        </w:tc>
      </w:tr>
      <w:tr>
        <w:trPr>
          <w:cantSplit w:val="0"/>
          <w:tblHeader w:val="0"/>
        </w:trPr>
        <w:tc>
          <w:tcPr>
            <w:shd w:fill="e8eef3" w:val="clear"/>
            <w:tcMar>
              <w:top w:w="80.0" w:type="dxa"/>
              <w:left w:w="100.0" w:type="dxa"/>
              <w:bottom w:w="80.0" w:type="dxa"/>
              <w:right w:w="100.0" w:type="dxa"/>
            </w:tcMar>
            <w:vAlign w:val="center"/>
          </w:tcPr>
          <w:p w:rsidR="00000000" w:rsidDel="00000000" w:rsidP="00000000" w:rsidRDefault="00000000" w:rsidRPr="00000000" w14:paraId="0000015A">
            <w:pPr>
              <w:jc w:val="left"/>
              <w:rPr/>
            </w:pPr>
            <w:r w:rsidDel="00000000" w:rsidR="00000000" w:rsidRPr="00000000">
              <w:rPr>
                <w:b w:val="0"/>
                <w:bCs w:val="0"/>
                <w:sz w:val="17"/>
                <w:szCs w:val="17"/>
                <w:rtl w:val="0"/>
              </w:rPr>
              <w:t xml:space="preserve">Waaree Energies</w:t>
            </w:r>
            <w:r w:rsidDel="00000000" w:rsidR="00000000" w:rsidRPr="00000000">
              <w:rPr>
                <w:rtl w:val="0"/>
              </w:rPr>
            </w:r>
          </w:p>
        </w:tc>
        <w:tc>
          <w:tcPr>
            <w:shd w:fill="e8eef3" w:val="clear"/>
            <w:tcMar>
              <w:top w:w="80.0" w:type="dxa"/>
              <w:left w:w="100.0" w:type="dxa"/>
              <w:bottom w:w="80.0" w:type="dxa"/>
              <w:right w:w="100.0" w:type="dxa"/>
            </w:tcMar>
            <w:vAlign w:val="center"/>
          </w:tcPr>
          <w:p w:rsidR="00000000" w:rsidDel="00000000" w:rsidP="00000000" w:rsidRDefault="00000000" w:rsidRPr="00000000" w14:paraId="0000015B">
            <w:pPr>
              <w:jc w:val="left"/>
              <w:rPr/>
            </w:pPr>
            <w:r w:rsidDel="00000000" w:rsidR="00000000" w:rsidRPr="00000000">
              <w:rPr>
                <w:b w:val="0"/>
                <w:bCs w:val="0"/>
                <w:sz w:val="17"/>
                <w:szCs w:val="17"/>
                <w:rtl w:val="0"/>
              </w:rPr>
              <w:t xml:space="preserve">Solar</w:t>
            </w:r>
            <w:r w:rsidDel="00000000" w:rsidR="00000000" w:rsidRPr="00000000">
              <w:rPr>
                <w:sz w:val="17"/>
                <w:szCs w:val="17"/>
                <w:rtl w:val="0"/>
              </w:rPr>
              <w:t xml:space="preserve"> </w:t>
            </w:r>
            <w:r w:rsidDel="00000000" w:rsidR="00000000" w:rsidRPr="00000000">
              <w:rPr>
                <w:b w:val="0"/>
                <w:bCs w:val="0"/>
                <w:sz w:val="17"/>
                <w:szCs w:val="17"/>
                <w:rtl w:val="0"/>
              </w:rPr>
              <w:t xml:space="preserve">to</w:t>
            </w:r>
            <w:r w:rsidDel="00000000" w:rsidR="00000000" w:rsidRPr="00000000">
              <w:rPr>
                <w:sz w:val="17"/>
                <w:szCs w:val="17"/>
                <w:rtl w:val="0"/>
              </w:rPr>
              <w:t xml:space="preserve"> </w:t>
            </w:r>
            <w:r w:rsidDel="00000000" w:rsidR="00000000" w:rsidRPr="00000000">
              <w:rPr>
                <w:b w:val="0"/>
                <w:bCs w:val="0"/>
                <w:sz w:val="17"/>
                <w:szCs w:val="17"/>
                <w:rtl w:val="0"/>
              </w:rPr>
              <w:t xml:space="preserve">storage diversification</w:t>
            </w:r>
            <w:r w:rsidDel="00000000" w:rsidR="00000000" w:rsidRPr="00000000">
              <w:rPr>
                <w:rtl w:val="0"/>
              </w:rPr>
            </w:r>
          </w:p>
        </w:tc>
        <w:tc>
          <w:tcPr>
            <w:shd w:fill="e8eef3" w:val="clear"/>
            <w:tcMar>
              <w:top w:w="80.0" w:type="dxa"/>
              <w:left w:w="100.0" w:type="dxa"/>
              <w:bottom w:w="80.0" w:type="dxa"/>
              <w:right w:w="100.0" w:type="dxa"/>
            </w:tcMar>
            <w:vAlign w:val="center"/>
          </w:tcPr>
          <w:p w:rsidR="00000000" w:rsidDel="00000000" w:rsidP="00000000" w:rsidRDefault="00000000" w:rsidRPr="00000000" w14:paraId="0000015C">
            <w:pPr>
              <w:jc w:val="left"/>
              <w:rPr/>
            </w:pPr>
            <w:r w:rsidDel="00000000" w:rsidR="00000000" w:rsidRPr="00000000">
              <w:rPr>
                <w:b w:val="0"/>
                <w:bCs w:val="0"/>
                <w:sz w:val="17"/>
                <w:szCs w:val="17"/>
                <w:rtl w:val="0"/>
              </w:rPr>
              <w:t xml:space="preserve">Expanding from module manufacturing into PowerSafe branded ESS offerings across C&amp;I and utility segments</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15D">
            <w:pPr>
              <w:jc w:val="left"/>
              <w:rPr/>
            </w:pPr>
            <w:r w:rsidDel="00000000" w:rsidR="00000000" w:rsidRPr="00000000">
              <w:rPr>
                <w:b w:val="0"/>
                <w:bCs w:val="0"/>
                <w:sz w:val="17"/>
                <w:szCs w:val="17"/>
                <w:rtl w:val="0"/>
              </w:rPr>
              <w:t xml:space="preserve">Sterling &amp; Wilson Renewable Energy</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5E">
            <w:pPr>
              <w:jc w:val="left"/>
              <w:rPr/>
            </w:pPr>
            <w:r w:rsidDel="00000000" w:rsidR="00000000" w:rsidRPr="00000000">
              <w:rPr>
                <w:b w:val="0"/>
                <w:bCs w:val="0"/>
                <w:sz w:val="17"/>
                <w:szCs w:val="17"/>
                <w:rtl w:val="0"/>
              </w:rPr>
              <w:t xml:space="preserve">Turnkey EPC</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5F">
            <w:pPr>
              <w:jc w:val="left"/>
              <w:rPr/>
            </w:pPr>
            <w:r w:rsidDel="00000000" w:rsidR="00000000" w:rsidRPr="00000000">
              <w:rPr>
                <w:b w:val="0"/>
                <w:bCs w:val="0"/>
                <w:sz w:val="17"/>
                <w:szCs w:val="17"/>
                <w:rtl w:val="0"/>
              </w:rPr>
              <w:t xml:space="preserve">Technology</w:t>
            </w:r>
            <w:r w:rsidDel="00000000" w:rsidR="00000000" w:rsidRPr="00000000">
              <w:rPr>
                <w:sz w:val="17"/>
                <w:szCs w:val="17"/>
                <w:rtl w:val="0"/>
              </w:rPr>
              <w:t xml:space="preserve"> </w:t>
            </w:r>
            <w:r w:rsidDel="00000000" w:rsidR="00000000" w:rsidRPr="00000000">
              <w:rPr>
                <w:b w:val="0"/>
                <w:bCs w:val="0"/>
                <w:sz w:val="17"/>
                <w:szCs w:val="17"/>
                <w:rtl w:val="0"/>
              </w:rPr>
              <w:t xml:space="preserve">agnostic EPC across battery containers, grid synchronisation, and civil works</w:t>
            </w:r>
            <w:r w:rsidDel="00000000" w:rsidR="00000000" w:rsidRPr="00000000">
              <w:rPr>
                <w:rtl w:val="0"/>
              </w:rPr>
            </w:r>
          </w:p>
        </w:tc>
      </w:tr>
      <w:tr>
        <w:trPr>
          <w:cantSplit w:val="0"/>
          <w:tblHeader w:val="0"/>
        </w:trPr>
        <w:tc>
          <w:tcPr>
            <w:shd w:fill="e8eef3" w:val="clear"/>
            <w:tcMar>
              <w:top w:w="80.0" w:type="dxa"/>
              <w:left w:w="100.0" w:type="dxa"/>
              <w:bottom w:w="80.0" w:type="dxa"/>
              <w:right w:w="100.0" w:type="dxa"/>
            </w:tcMar>
            <w:vAlign w:val="center"/>
          </w:tcPr>
          <w:p w:rsidR="00000000" w:rsidDel="00000000" w:rsidP="00000000" w:rsidRDefault="00000000" w:rsidRPr="00000000" w14:paraId="00000160">
            <w:pPr>
              <w:jc w:val="left"/>
              <w:rPr/>
            </w:pPr>
            <w:r w:rsidDel="00000000" w:rsidR="00000000" w:rsidRPr="00000000">
              <w:rPr>
                <w:b w:val="0"/>
                <w:bCs w:val="0"/>
                <w:sz w:val="17"/>
                <w:szCs w:val="17"/>
                <w:rtl w:val="0"/>
              </w:rPr>
              <w:t xml:space="preserve">HBL Power Systems</w:t>
            </w:r>
            <w:r w:rsidDel="00000000" w:rsidR="00000000" w:rsidRPr="00000000">
              <w:rPr>
                <w:rtl w:val="0"/>
              </w:rPr>
            </w:r>
          </w:p>
        </w:tc>
        <w:tc>
          <w:tcPr>
            <w:shd w:fill="e8eef3" w:val="clear"/>
            <w:tcMar>
              <w:top w:w="80.0" w:type="dxa"/>
              <w:left w:w="100.0" w:type="dxa"/>
              <w:bottom w:w="80.0" w:type="dxa"/>
              <w:right w:w="100.0" w:type="dxa"/>
            </w:tcMar>
            <w:vAlign w:val="center"/>
          </w:tcPr>
          <w:p w:rsidR="00000000" w:rsidDel="00000000" w:rsidP="00000000" w:rsidRDefault="00000000" w:rsidRPr="00000000" w14:paraId="00000161">
            <w:pPr>
              <w:jc w:val="left"/>
              <w:rPr/>
            </w:pPr>
            <w:r w:rsidDel="00000000" w:rsidR="00000000" w:rsidRPr="00000000">
              <w:rPr>
                <w:b w:val="0"/>
                <w:bCs w:val="0"/>
                <w:sz w:val="17"/>
                <w:szCs w:val="17"/>
                <w:rtl w:val="0"/>
              </w:rPr>
              <w:t xml:space="preserve">Defense/rail</w:t>
            </w:r>
            <w:r w:rsidDel="00000000" w:rsidR="00000000" w:rsidRPr="00000000">
              <w:rPr>
                <w:sz w:val="17"/>
                <w:szCs w:val="17"/>
                <w:rtl w:val="0"/>
              </w:rPr>
              <w:t xml:space="preserve"> </w:t>
            </w:r>
            <w:r w:rsidDel="00000000" w:rsidR="00000000" w:rsidRPr="00000000">
              <w:rPr>
                <w:b w:val="0"/>
                <w:bCs w:val="0"/>
                <w:sz w:val="17"/>
                <w:szCs w:val="17"/>
                <w:rtl w:val="0"/>
              </w:rPr>
              <w:t xml:space="preserve">grade storage entrant</w:t>
            </w:r>
            <w:r w:rsidDel="00000000" w:rsidR="00000000" w:rsidRPr="00000000">
              <w:rPr>
                <w:rtl w:val="0"/>
              </w:rPr>
            </w:r>
          </w:p>
        </w:tc>
        <w:tc>
          <w:tcPr>
            <w:shd w:fill="e8eef3" w:val="clear"/>
            <w:tcMar>
              <w:top w:w="80.0" w:type="dxa"/>
              <w:left w:w="100.0" w:type="dxa"/>
              <w:bottom w:w="80.0" w:type="dxa"/>
              <w:right w:w="100.0" w:type="dxa"/>
            </w:tcMar>
            <w:vAlign w:val="center"/>
          </w:tcPr>
          <w:p w:rsidR="00000000" w:rsidDel="00000000" w:rsidP="00000000" w:rsidRDefault="00000000" w:rsidRPr="00000000" w14:paraId="00000162">
            <w:pPr>
              <w:jc w:val="left"/>
              <w:rPr/>
            </w:pPr>
            <w:r w:rsidDel="00000000" w:rsidR="00000000" w:rsidRPr="00000000">
              <w:rPr>
                <w:b w:val="0"/>
                <w:bCs w:val="0"/>
                <w:sz w:val="17"/>
                <w:szCs w:val="17"/>
                <w:rtl w:val="0"/>
              </w:rPr>
              <w:t xml:space="preserve">Niche entrant leveraging mission-critical reliability credentials into grid</w:t>
            </w:r>
            <w:r w:rsidDel="00000000" w:rsidR="00000000" w:rsidRPr="00000000">
              <w:rPr>
                <w:sz w:val="17"/>
                <w:szCs w:val="17"/>
                <w:rtl w:val="0"/>
              </w:rPr>
              <w:t xml:space="preserve"> </w:t>
            </w:r>
            <w:r w:rsidDel="00000000" w:rsidR="00000000" w:rsidRPr="00000000">
              <w:rPr>
                <w:b w:val="0"/>
                <w:bCs w:val="0"/>
                <w:sz w:val="17"/>
                <w:szCs w:val="17"/>
                <w:rtl w:val="0"/>
              </w:rPr>
              <w:t xml:space="preserve">scale BESS</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163">
            <w:pPr>
              <w:jc w:val="left"/>
              <w:rPr/>
            </w:pPr>
            <w:r w:rsidDel="00000000" w:rsidR="00000000" w:rsidRPr="00000000">
              <w:rPr>
                <w:b w:val="0"/>
                <w:bCs w:val="0"/>
                <w:sz w:val="17"/>
                <w:szCs w:val="17"/>
                <w:rtl w:val="0"/>
              </w:rPr>
              <w:t xml:space="preserve">AES</w:t>
            </w:r>
            <w:r w:rsidDel="00000000" w:rsidR="00000000" w:rsidRPr="00000000">
              <w:rPr>
                <w:sz w:val="17"/>
                <w:szCs w:val="17"/>
                <w:rtl w:val="0"/>
              </w:rPr>
              <w:t xml:space="preserve"> </w:t>
            </w:r>
            <w:r w:rsidDel="00000000" w:rsidR="00000000" w:rsidRPr="00000000">
              <w:rPr>
                <w:b w:val="0"/>
                <w:bCs w:val="0"/>
                <w:sz w:val="17"/>
                <w:szCs w:val="17"/>
                <w:rtl w:val="0"/>
              </w:rPr>
              <w:t xml:space="preserve">Fluence JV, Siemens Energy India, Hitachi Energy India, LG Energy Solution India</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64">
            <w:pPr>
              <w:jc w:val="left"/>
              <w:rPr/>
            </w:pPr>
            <w:r w:rsidDel="00000000" w:rsidR="00000000" w:rsidRPr="00000000">
              <w:rPr>
                <w:b w:val="0"/>
                <w:bCs w:val="0"/>
                <w:sz w:val="17"/>
                <w:szCs w:val="17"/>
                <w:rtl w:val="0"/>
              </w:rPr>
              <w:t xml:space="preserve">Global technology &amp; EPC partners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65">
            <w:pPr>
              <w:jc w:val="left"/>
              <w:rPr/>
            </w:pPr>
            <w:r w:rsidDel="00000000" w:rsidR="00000000" w:rsidRPr="00000000">
              <w:rPr>
                <w:b w:val="0"/>
                <w:bCs w:val="0"/>
                <w:sz w:val="17"/>
                <w:szCs w:val="17"/>
                <w:rtl w:val="0"/>
              </w:rPr>
              <w:t xml:space="preserve">Supply PCS, controls, and cell technology under JV/licensing arrangements with Indian developers</w:t>
            </w:r>
            <w:r w:rsidDel="00000000" w:rsidR="00000000" w:rsidRPr="00000000">
              <w:rPr>
                <w:rtl w:val="0"/>
              </w:rPr>
            </w:r>
          </w:p>
        </w:tc>
      </w:tr>
    </w:tbl>
    <w:p w:rsidR="00000000" w:rsidDel="00000000" w:rsidP="00000000" w:rsidRDefault="00000000" w:rsidRPr="00000000" w14:paraId="00000166">
      <w:pPr>
        <w:spacing w:after="120" w:lineRule="auto"/>
        <w:rPr/>
      </w:pPr>
      <w:r w:rsidDel="00000000" w:rsidR="00000000" w:rsidRPr="00000000">
        <w:rPr>
          <w:rtl w:val="0"/>
        </w:rPr>
      </w:r>
    </w:p>
    <w:p w:rsidR="00000000" w:rsidDel="00000000" w:rsidP="00000000" w:rsidRDefault="00000000" w:rsidRPr="00000000" w14:paraId="00000167">
      <w:pPr>
        <w:pStyle w:val="Heading2"/>
        <w:spacing w:after="120" w:before="240" w:lineRule="auto"/>
        <w:jc w:val="both"/>
        <w:rPr>
          <w:color w:val="000000"/>
        </w:rPr>
      </w:pPr>
      <w:r w:rsidDel="00000000" w:rsidR="00000000" w:rsidRPr="00000000">
        <w:rPr>
          <w:b w:val="1"/>
          <w:bCs w:val="1"/>
          <w:color w:val="000000"/>
          <w:sz w:val="26"/>
          <w:szCs w:val="26"/>
          <w:rtl w:val="0"/>
        </w:rPr>
        <w:t xml:space="preserve">Positioning Notes</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By project scale, Adani leads with its 3,530 MWh flagship project; by operational track record and vertical integration, Tata Power is the most complete player.</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For cell localization, Exide and Amara Raja are the furthest along, both having signed international technology partnerships (SVOLT and Gotion High</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Tech respectively) to accelerate gigafactory build-out.</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Chinese cell suppliers CATL, BYD, CALB, and EVE among others currently supply the majority of cells used in Indian BESS projects, since local cell manufacturing is not expected to reach meaningful scale until 2027-2028.</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Bankability and financing: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Tata and Adani carry stronger investment</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grade credentials and can typically close debt financing faster than smaller developers.</w:t>
      </w:r>
      <w:r w:rsidDel="00000000" w:rsidR="00000000" w:rsidRPr="00000000">
        <w:rPr>
          <w:rtl w:val="0"/>
        </w:rPr>
      </w:r>
    </w:p>
    <w:p w:rsidR="00000000" w:rsidDel="00000000" w:rsidP="00000000" w:rsidRDefault="00000000" w:rsidRPr="00000000" w14:paraId="0000016C">
      <w:pPr>
        <w:spacing w:after="200" w:before="100" w:lineRule="auto"/>
        <w:jc w:val="both"/>
        <w:rPr/>
      </w:pPr>
      <w:r w:rsidDel="00000000" w:rsidR="00000000" w:rsidRPr="00000000">
        <w:rPr>
          <w:i w:val="1"/>
          <w:iCs w:val="1"/>
          <w:sz w:val="17"/>
          <w:szCs w:val="17"/>
          <w:rtl w:val="0"/>
        </w:rPr>
        <w:t xml:space="preserve">Source: Makreo Research, India BESS Market Competition Assessment Report 2026; Mordor Intelligence; industry press</w:t>
      </w:r>
      <w:r w:rsidDel="00000000" w:rsidR="00000000" w:rsidRPr="00000000">
        <w:rPr>
          <w:rtl w:val="0"/>
        </w:rPr>
      </w:r>
    </w:p>
    <w:p w:rsidR="00000000" w:rsidDel="00000000" w:rsidP="00000000" w:rsidRDefault="00000000" w:rsidRPr="00000000" w14:paraId="0000016D">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6E">
      <w:pPr>
        <w:spacing w:after="40" w:before="200" w:lineRule="auto"/>
        <w:jc w:val="both"/>
        <w:rPr/>
      </w:pPr>
      <w:r w:rsidDel="00000000" w:rsidR="00000000" w:rsidRPr="00000000">
        <w:rPr>
          <w:rtl w:val="0"/>
        </w:rPr>
      </w:r>
    </w:p>
    <w:p w:rsidR="00000000" w:rsidDel="00000000" w:rsidP="00000000" w:rsidRDefault="00000000" w:rsidRPr="00000000" w14:paraId="0000016F">
      <w:pPr>
        <w:pStyle w:val="Heading1"/>
        <w:pBdr>
          <w:bottom w:color="2e8b57" w:space="6" w:sz="8" w:val="single"/>
        </w:pBdr>
        <w:spacing w:after="200" w:before="0" w:lineRule="auto"/>
        <w:jc w:val="both"/>
        <w:rPr>
          <w:color w:val="000000"/>
        </w:rPr>
      </w:pPr>
      <w:r w:rsidDel="00000000" w:rsidR="00000000" w:rsidRPr="00000000">
        <w:rPr>
          <w:b w:val="1"/>
          <w:bCs w:val="1"/>
          <w:color w:val="000000"/>
          <w:sz w:val="32"/>
          <w:szCs w:val="32"/>
          <w:rtl w:val="0"/>
        </w:rPr>
        <w:t xml:space="preserve">Market Outlook &amp; Growth Projections</w:t>
      </w:r>
      <w:r w:rsidDel="00000000" w:rsidR="00000000" w:rsidRPr="00000000">
        <w:rPr>
          <w:rtl w:val="0"/>
        </w:rPr>
      </w:r>
    </w:p>
    <w:p w:rsidR="00000000" w:rsidDel="00000000" w:rsidP="00000000" w:rsidRDefault="00000000" w:rsidRPr="00000000" w14:paraId="00000170">
      <w:pPr>
        <w:pStyle w:val="Heading2"/>
        <w:spacing w:after="120" w:before="240" w:lineRule="auto"/>
        <w:jc w:val="both"/>
        <w:rPr>
          <w:color w:val="000000"/>
        </w:rPr>
      </w:pPr>
      <w:r w:rsidDel="00000000" w:rsidR="00000000" w:rsidRPr="00000000">
        <w:rPr>
          <w:b w:val="1"/>
          <w:bCs w:val="1"/>
          <w:color w:val="000000"/>
          <w:sz w:val="26"/>
          <w:szCs w:val="26"/>
          <w:rtl w:val="0"/>
        </w:rPr>
        <w:t xml:space="preserve">India</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Near-term trajectory: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India's BESS market is estimated at roughly $1.5 billion in 2025, with independent forecasts pointing toward a range of $7.5 billion to $32 billion by 2030, depending on the scope measured (installed</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capacity market vs. total energy</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storage capex). CAGR estimates across research houses cluster between 27% and 38% for 2025-2030.</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Capacity build-out: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Cumulative installed BESS capacity reached 341 MWh in 2024 a sixfold jump from 51 MWh in 2023 while the contracted project pipeline expanded to 92 GWh by end-2025, up 384% year</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on</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year. India is on track to need 236-411 GWh of total energy storage by FY2031-32 and could require as much as 1,840 GWh of BESS capacity by 2047 under long-term decarbonization scenarios.</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Structural demand drivers: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The 500 GW non-fossil capacity target by 2030 (roughly 220 GW deployed today), a rising Energy Storage Obligation on DISCOMs, and expanding Viability Gap Funding (from 4 GWh to 13.2 GWh of allocation in 2025) all point to sustained multi</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year demand growth, even as near-term tender tariff viability remains under pressure.</w:t>
      </w:r>
      <w:r w:rsidDel="00000000" w:rsidR="00000000" w:rsidRPr="00000000">
        <w:rPr>
          <w:rtl w:val="0"/>
        </w:rPr>
      </w:r>
    </w:p>
    <w:p w:rsidR="00000000" w:rsidDel="00000000" w:rsidP="00000000" w:rsidRDefault="00000000" w:rsidRPr="00000000" w14:paraId="00000174">
      <w:pPr>
        <w:pStyle w:val="Heading2"/>
        <w:spacing w:after="120" w:before="240" w:lineRule="auto"/>
        <w:jc w:val="both"/>
        <w:rPr>
          <w:color w:val="000000"/>
        </w:rPr>
      </w:pPr>
      <w:r w:rsidDel="00000000" w:rsidR="00000000" w:rsidRPr="00000000">
        <w:rPr>
          <w:b w:val="1"/>
          <w:bCs w:val="1"/>
          <w:color w:val="000000"/>
          <w:sz w:val="26"/>
          <w:szCs w:val="26"/>
          <w:rtl w:val="0"/>
        </w:rPr>
        <w:t xml:space="preserve">Global</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Global BESS capacity is projected to grow from 170 GWh in 2024 to over 1.5 TWh by </w:t>
      </w:r>
      <w:r w:rsidDel="00000000" w:rsidR="00000000" w:rsidRPr="00000000">
        <w:rPr>
          <w:rtl w:val="0"/>
        </w:rPr>
        <w:t xml:space="preserve">2030 at a 43%</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CAGR with worldwide investment in battery storage forecast to rise from roughly $5 billion in 2022 to more than $120 billion by 2030.</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Cost curves remain the primary tailwind: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LFP cell prices have fallen roughly 35% globally between 2022 and 2025, and Indian project</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level BESS pricing has compressed from about $300/kWh (all</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in CapEx) in 2022 toward $160-190/kWh in 2025.</w:t>
      </w:r>
      <w:r w:rsidDel="00000000" w:rsidR="00000000" w:rsidRPr="00000000">
        <w:rPr>
          <w:rtl w:val="0"/>
        </w:rPr>
      </w:r>
    </w:p>
    <w:p w:rsidR="00000000" w:rsidDel="00000000" w:rsidP="00000000" w:rsidRDefault="00000000" w:rsidRPr="00000000" w14:paraId="00000177">
      <w:pPr>
        <w:spacing w:after="200" w:before="100" w:lineRule="auto"/>
        <w:jc w:val="both"/>
        <w:rPr/>
      </w:pPr>
      <w:r w:rsidDel="00000000" w:rsidR="00000000" w:rsidRPr="00000000">
        <w:rPr>
          <w:i w:val="1"/>
          <w:iCs w:val="1"/>
          <w:sz w:val="17"/>
          <w:szCs w:val="17"/>
          <w:rtl w:val="0"/>
        </w:rPr>
        <w:t xml:space="preserve">Source: Alora Advisory; Cervicorn Consulting; MarkNtel Advisors; Statista/power technology.com</w:t>
      </w:r>
      <w:r w:rsidDel="00000000" w:rsidR="00000000" w:rsidRPr="00000000">
        <w:rPr>
          <w:rtl w:val="0"/>
        </w:rPr>
      </w:r>
    </w:p>
    <w:p w:rsidR="00000000" w:rsidDel="00000000" w:rsidP="00000000" w:rsidRDefault="00000000" w:rsidRPr="00000000" w14:paraId="00000178">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79">
      <w:pPr>
        <w:pStyle w:val="Heading1"/>
        <w:pBdr>
          <w:bottom w:color="2e8b57" w:space="6" w:sz="8" w:val="single"/>
        </w:pBdr>
        <w:spacing w:after="200" w:before="0" w:lineRule="auto"/>
        <w:rPr>
          <w:color w:val="000000"/>
        </w:rPr>
      </w:pPr>
      <w:r w:rsidDel="00000000" w:rsidR="00000000" w:rsidRPr="00000000">
        <w:rPr>
          <w:b w:val="1"/>
          <w:bCs w:val="1"/>
          <w:color w:val="000000"/>
          <w:sz w:val="32"/>
          <w:szCs w:val="32"/>
          <w:rtl w:val="0"/>
        </w:rPr>
        <w:t xml:space="preserve">Conclusion &amp; Strategic Recommendations</w:t>
      </w:r>
      <w:r w:rsidDel="00000000" w:rsidR="00000000" w:rsidRPr="00000000">
        <w:rPr>
          <w:rtl w:val="0"/>
        </w:rPr>
      </w:r>
    </w:p>
    <w:p w:rsidR="00000000" w:rsidDel="00000000" w:rsidP="00000000" w:rsidRDefault="00000000" w:rsidRPr="00000000" w14:paraId="0000017A">
      <w:pPr>
        <w:spacing w:after="120" w:lineRule="auto"/>
        <w:jc w:val="both"/>
        <w:rPr/>
      </w:pPr>
      <w:r w:rsidDel="00000000" w:rsidR="00000000" w:rsidRPr="00000000">
        <w:rPr>
          <w:i w:val="0"/>
          <w:iCs w:val="0"/>
          <w:sz w:val="21"/>
          <w:szCs w:val="21"/>
          <w:rtl w:val="0"/>
        </w:rPr>
        <w:t xml:space="preserve">BESS sits at the intersection of India's two largest energy</w:t>
      </w:r>
      <w:r w:rsidDel="00000000" w:rsidR="00000000" w:rsidRPr="00000000">
        <w:rPr>
          <w:rtl w:val="0"/>
        </w:rPr>
        <w:t xml:space="preserve"> </w:t>
      </w:r>
      <w:r w:rsidDel="00000000" w:rsidR="00000000" w:rsidRPr="00000000">
        <w:rPr>
          <w:i w:val="0"/>
          <w:iCs w:val="0"/>
          <w:sz w:val="21"/>
          <w:szCs w:val="21"/>
          <w:rtl w:val="0"/>
        </w:rPr>
        <w:t xml:space="preserve">transition mandates 500 GW of non-fossil capacity by 2030 and a rapidly rising Energy Storage Obligation which underwrites a large, multi</w:t>
      </w:r>
      <w:r w:rsidDel="00000000" w:rsidR="00000000" w:rsidRPr="00000000">
        <w:rPr>
          <w:rtl w:val="0"/>
        </w:rPr>
        <w:t xml:space="preserve"> </w:t>
      </w:r>
      <w:r w:rsidDel="00000000" w:rsidR="00000000" w:rsidRPr="00000000">
        <w:rPr>
          <w:i w:val="0"/>
          <w:iCs w:val="0"/>
          <w:sz w:val="21"/>
          <w:szCs w:val="21"/>
          <w:rtl w:val="0"/>
        </w:rPr>
        <w:t xml:space="preserve">decade addressable market even though near</w:t>
      </w:r>
      <w:r w:rsidDel="00000000" w:rsidR="00000000" w:rsidRPr="00000000">
        <w:rPr>
          <w:rtl w:val="0"/>
        </w:rPr>
        <w:t xml:space="preserve"> </w:t>
      </w:r>
      <w:r w:rsidDel="00000000" w:rsidR="00000000" w:rsidRPr="00000000">
        <w:rPr>
          <w:i w:val="0"/>
          <w:iCs w:val="0"/>
          <w:sz w:val="21"/>
          <w:szCs w:val="21"/>
          <w:rtl w:val="0"/>
        </w:rPr>
        <w:t xml:space="preserve">term project economics remain uneven.</w:t>
      </w:r>
      <w:r w:rsidDel="00000000" w:rsidR="00000000" w:rsidRPr="00000000">
        <w:rPr>
          <w:rtl w:val="0"/>
        </w:rPr>
      </w:r>
    </w:p>
    <w:p w:rsidR="00000000" w:rsidDel="00000000" w:rsidP="00000000" w:rsidRDefault="00000000" w:rsidRPr="00000000" w14:paraId="0000017B">
      <w:pPr>
        <w:pStyle w:val="Heading2"/>
        <w:spacing w:after="120" w:before="240" w:lineRule="auto"/>
        <w:jc w:val="both"/>
        <w:rPr>
          <w:color w:val="000000"/>
        </w:rPr>
      </w:pPr>
      <w:r w:rsidDel="00000000" w:rsidR="00000000" w:rsidRPr="00000000">
        <w:rPr>
          <w:b w:val="1"/>
          <w:bCs w:val="1"/>
          <w:color w:val="000000"/>
          <w:sz w:val="26"/>
          <w:szCs w:val="26"/>
          <w:rtl w:val="0"/>
        </w:rPr>
        <w:t xml:space="preserve">Key Takeaways</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The opportunity is real but front</w:t>
      </w:r>
      <w:r w:rsidDel="00000000" w:rsidR="00000000" w:rsidRPr="00000000">
        <w:rPr>
          <w:b w:val="1"/>
          <w:bCs w:val="1"/>
          <w:rtl w:val="0"/>
        </w:rPr>
        <w:t xml:space="preserve"> </w:t>
      </w: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loaded with execution risk: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pipeline and tender activity have grown multiple times over in the past two years, but nearly three</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quarters of recently allocated standalone tender capacity sits in an at</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risk viability category because tariffs have fallen faster than hardware costs.</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Revenue model matters more than headline market size: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merchant participation in power exchanges (DAM + ancillary services) is now delivering materially better returns than tender-only tariff contracts, and this gap is likely to persist until the SPPA framework is finalized.</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Import dependence and technology risk are the two structural overhangs: nearly 90% of Li</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ion cells are still imported, and the entire LFP/NMC installed base carries multi</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year obsolescence risk from Na</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ion and solid</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state chemistries.</w:t>
      </w:r>
      <w:r w:rsidDel="00000000" w:rsidR="00000000" w:rsidRPr="00000000">
        <w:rPr>
          <w:rtl w:val="0"/>
        </w:rPr>
      </w:r>
    </w:p>
    <w:p w:rsidR="00000000" w:rsidDel="00000000" w:rsidP="00000000" w:rsidRDefault="00000000" w:rsidRPr="00000000" w14:paraId="0000017F">
      <w:pPr>
        <w:pStyle w:val="Heading2"/>
        <w:spacing w:after="120" w:before="240" w:lineRule="auto"/>
        <w:jc w:val="both"/>
        <w:rPr>
          <w:color w:val="000000"/>
        </w:rPr>
      </w:pPr>
      <w:r w:rsidDel="00000000" w:rsidR="00000000" w:rsidRPr="00000000">
        <w:rPr>
          <w:b w:val="1"/>
          <w:bCs w:val="1"/>
          <w:color w:val="000000"/>
          <w:sz w:val="26"/>
          <w:szCs w:val="26"/>
          <w:rtl w:val="0"/>
        </w:rPr>
        <w:t xml:space="preserve">Recommendations</w:t>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Prioritize developers and partners with demonstrated commissioning track records over pipeline announcements, given execution and grid</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connection delays remain the sector's most cited risk.</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Favor project structures that blend regulated revenue (VGF</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backed tenders, ToD arbitrage) with merchant upside (DAM + ancillary services) rather than relying on tender tariffs alone.</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Track PLI (ACC) disbursement and the MoP's SPPA framework closely both are near</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term catalysts that would materially de</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risk financing for standalone BESS.</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Where feasible, favor modular, technology</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agnostic system designs to reduce exposure to Na</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ion/solid</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state displacement risk over a 5-7 year horizon.</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both"/>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Engage early with state</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level incentive programs (Gujarat, Maharashtra, Tamil Nadu, Karnataka) for manufacturing or co-located projects, since land, tax, and grid</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connection benefits materially improve project IRR.</w:t>
      </w:r>
      <w:r w:rsidDel="00000000" w:rsidR="00000000" w:rsidRPr="00000000">
        <w:rPr>
          <w:rtl w:val="0"/>
        </w:rPr>
      </w:r>
    </w:p>
    <w:sectPr>
      <w:headerReference r:id="rId7" w:type="default"/>
      <w:footerReference r:id="rId8"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jc w:val="center"/>
      <w:rPr/>
    </w:pPr>
    <w:r w:rsidDel="00000000" w:rsidR="00000000" w:rsidRPr="00000000">
      <w:rPr>
        <w:color w:val="595959"/>
        <w:sz w:val="15"/>
        <w:szCs w:val="15"/>
        <w:rtl w:val="0"/>
      </w:rPr>
      <w:t xml:space="preserve">Page </w:t>
    </w:r>
    <w:r w:rsidDel="00000000" w:rsidR="00000000" w:rsidRPr="00000000">
      <w:rPr>
        <w:color w:val="595959"/>
        <w:sz w:val="15"/>
        <w:szCs w:val="15"/>
      </w:rPr>
      <w:fldChar w:fldCharType="begin"/>
      <w:instrText xml:space="preserve">PAGE</w:instrText>
      <w:fldChar w:fldCharType="separate"/>
      <w:fldChar w:fldCharType="end"/>
    </w:r>
    <w:r w:rsidDel="00000000" w:rsidR="00000000" w:rsidRPr="00000000">
      <w:rPr>
        <w:color w:val="595959"/>
        <w:sz w:val="15"/>
        <w:szCs w:val="15"/>
        <w:rtl w:val="0"/>
      </w:rPr>
      <w:t xml:space="preserve"> of </w:t>
    </w:r>
    <w:r w:rsidDel="00000000" w:rsidR="00000000" w:rsidRPr="00000000">
      <w:rPr>
        <w:color w:val="595959"/>
        <w:sz w:val="15"/>
        <w:szCs w:val="15"/>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vIF7Y0cpGpP24GCAnItJ5QqRuA==">CgMxLjA4AHIhMW8tVUhobTNtX1NCalFQRW16X0hqQzhDYWhQTGxDa3ph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