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一、时间安排</w:t>
      </w:r>
    </w:p>
    <w:p>
      <w:r>
        <w:t>自2024-03-02起，安全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二、检查机制</w:t>
      </w:r>
    </w:p>
    <w:p>
      <w:r>
        <w:t>上海总部12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三、流程说明</w:t>
      </w:r>
    </w:p>
    <w:p>
      <w:r>
        <w:t>自2024-03-02起，安全部门统一执行新版考勤和补卡规则，所有外出、加班与调休申请需在OA系统内完成登记，各部门接口人需在次日12:00前确认人员名单与门禁状态，避免因信息滞后影响办公秩序和审批节奏。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安全部</w:t>
      </w:r>
    </w:p>
    <w:p>
      <w:r>
        <w:t>2024-03-02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