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员工手册更新说明</w:t>
      </w:r>
    </w:p>
    <w:p>
      <w:r>
        <w:t>各位同事：</w:t>
      </w:r>
    </w:p>
    <w:p>
      <w:r>
        <w:t>根据公司管理规定，现将办公环境优化相关事项通知如下：</w:t>
      </w:r>
    </w:p>
    <w:p>
      <w:r>
        <w:t>一、资源准备</w:t>
      </w:r>
    </w:p>
    <w:p>
      <w:r>
        <w:t>8月行政培训将覆盖信息安全、消防演练和办公制度宣导三项内容，参训名单由各部门接口人汇总后统一提交，综合管理部将在每周五导出异常清单，对未按时提交说明的记录进行二次核验并在运营例会上通报。</w:t>
      </w:r>
    </w:p>
    <w:p>
      <w:r>
        <w:t>二、流程说明</w:t>
      </w:r>
    </w:p>
    <w:p>
      <w:r>
        <w:t>自2024-09-18起，产品部门统一执行新版考勤和补卡规则，所有外出、加班与调休申请需在OA系统内完成登记，综合管理部将在每周五导出异常清单，对未按时提交说明的记录进行二次核验并在运营例会上通报。</w:t>
      </w:r>
    </w:p>
    <w:p>
      <w:r>
        <w:t>三、例外处理</w:t>
      </w:r>
    </w:p>
    <w:p>
      <w:r>
        <w:t>杭州交付中心5层办公区本周启动工位和门禁权限同步调整，涉及设备搬迁、访客登记和座位编码更新的事项须按清单处理，综合管理部将在每周五导出异常清单，对未按时提交说明的记录进行二次核验并在运营例会上通报。</w:t>
      </w:r>
    </w:p>
    <w:p>
      <w:r>
        <w:t>特此通知。</w:t>
      </w:r>
    </w:p>
    <w:p>
      <w:r>
        <w:t>产品部</w:t>
      </w:r>
    </w:p>
    <w:p>
      <w:r>
        <w:t>2024-09-18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