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一、例外处理</w:t>
      </w:r>
    </w:p>
    <w:p>
      <w:r>
        <w:t>杭州交付中心8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二、检查机制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三、流程说明</w:t>
      </w:r>
    </w:p>
    <w:p>
      <w:r>
        <w:t>杭州交付中心8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财务部</w:t>
      </w:r>
    </w:p>
    <w:p>
      <w:r>
        <w:t>2024-07-23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