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技术白皮书：隐私合规实践</w:t>
      </w:r>
    </w:p>
    <w:p>
      <w:r>
        <w:t>摘要</w:t>
      </w:r>
    </w:p>
    <w:p>
      <w:r>
        <w:t>公司在客户成功体系中新增了统一披露模板，对服务承诺、问题升级路径和数据处理边界进行持续标准化治理，文档同时给出指标释义、样本范围和审校责任人，确保市场宣传、客户沟通与监管留痕在表述上保持一致。</w:t>
      </w:r>
    </w:p>
    <w:p>
      <w:r>
        <w:t>1. 运营成效</w:t>
      </w:r>
    </w:p>
    <w:p>
      <w:r>
        <w:t>公司在客户成功体系中新增了统一披露模板，对服务承诺、问题升级路径和数据处理边界进行持续标准化治理，后续版本将根据客户反馈和监管变化及时修订术语与案例，使公开资料既可读又具备可审计和可追溯属性。</w:t>
      </w:r>
    </w:p>
    <w:p>
      <w:r>
        <w:t>2. 合规实践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3. 治理进展</w:t>
      </w:r>
    </w:p>
    <w:p>
      <w:r>
        <w:t>本报告围绕2025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