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产品使用手册 v2.5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文档同时给出指标释义、样本范围和审校责任人，确保市场宣传、客户沟通与监管留痕在表述上保持一致。</w:t>
      </w:r>
    </w:p>
    <w:p>
      <w:r>
        <w:t>1. 运营成效</w:t>
      </w:r>
    </w:p>
    <w:p>
      <w:r>
        <w:t>本报告围绕2025年度经营与治理实践编制，覆盖客户服务、供应链协同、绿色办公与员工发展等核心议题，文档同时给出指标释义、样本范围和审校责任人，确保市场宣传、客户沟通与监管留痕在表述上保持一致。</w:t>
      </w:r>
    </w:p>
    <w:p>
      <w:r>
        <w:t>2. 服务能力</w:t>
      </w:r>
    </w:p>
    <w:p>
      <w:r>
        <w:t>产品使用手册结合售前、实施和运维团队的对外交付经验，总结了部署边界、能力范围和常见风险提示，文档同时给出指标释义、样本范围和审校责任人，确保市场宣传、客户沟通与监管留痕在表述上保持一致。</w:t>
      </w:r>
    </w:p>
    <w:p>
      <w:r>
        <w:t>3. 客户价值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