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一、流程说明</w:t>
      </w:r>
    </w:p>
    <w:p>
      <w:r>
        <w:t>深圳运营中心5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二、执行范围</w:t>
      </w:r>
    </w:p>
    <w:p>
      <w:r>
        <w:t>深圳运营中心5层办公区本周启动工位和门禁权限同步调整，涉及设备搬迁、访客登记和座位编码更新的事项须按清单处理，如遇系统故障，员工须先提交纸质登记表，恢复后24小时内补录，确保台账、审批记录和审计留痕保持一致。</w:t>
      </w:r>
    </w:p>
    <w:p>
      <w:r>
        <w:t>三、时间安排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法务部</w:t>
      </w:r>
    </w:p>
    <w:p>
      <w:r>
        <w:t>2024-01-21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