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员工手册更新说明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一、检查机制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二、执行范围</w:t>
      </w:r>
    </w:p>
    <w:p>
      <w:r>
        <w:t>2月行政培训将覆盖信息安全、消防演练和办公制度宣导三项内容，参训名单由各部门接口人汇总后统一提交，各部门接口人需在次日12:00前确认人员名单与门禁状态，避免因信息滞后影响办公秩序和审批节奏。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三、时间安排</w:t>
      </w:r>
    </w:p>
    <w:p>
      <w:r>
        <w:t>上海总部8层办公区本周启动工位和门禁权限同步调整，涉及设备搬迁、访客登记和座位编码更新的事项须按清单处理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运维部</w:t>
      </w:r>
    </w:p>
    <w:p>
      <w:r>
        <w:t>2024-09-10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