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法务部门培训计划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一、执行范围</w:t>
      </w:r>
    </w:p>
    <w:p>
      <w:r>
        <w:t>自2024-11-14起，法务部门统一执行新版考勤和补卡规则，所有外出、加班与调休申请需在OA系统内完成登记，综合管理部将在每周五导出异常清单，对未按时提交说明的记录进行二次核验并在运营例会上通报。</w:t>
      </w:r>
    </w:p>
    <w:p>
      <w:r>
        <w:t>二、检查机制</w:t>
      </w:r>
    </w:p>
    <w:p>
      <w:r>
        <w:t>杭州交付中心5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三、时间安排</w:t>
      </w:r>
    </w:p>
    <w:p>
      <w:r>
        <w:t>3月行政培训将覆盖信息安全、消防演练和办公制度宣导三项内容，参训名单由各部门接口人汇总后统一提交，综合管理部将在每周五导出异常清单，对未按时提交说明的记录进行二次核验并在运营例会上通报。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法务部</w:t>
      </w:r>
    </w:p>
    <w:p>
      <w:r>
        <w:t>2024-11-14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