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一、例外处理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二、资源准备</w:t>
      </w:r>
    </w:p>
    <w:p>
      <w:r>
        <w:t>北京研发中心8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三、时间安排</w:t>
      </w:r>
    </w:p>
    <w:p>
      <w:r>
        <w:t>北京研发中心8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人力部</w:t>
      </w:r>
    </w:p>
    <w:p>
      <w:r>
        <w:t>2024-06-14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