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2024年度企业社会责任报告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1. 后续规划</w:t>
      </w:r>
    </w:p>
    <w:p>
      <w:r>
        <w:t>本报告围绕2024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p>
      <w:r>
        <w:t>2. 合规实践</w:t>
      </w:r>
    </w:p>
    <w:p>
      <w:r>
        <w:t>白皮书根据2024-07-01前归档的项目台账、客户回访与合规审查结果整理，重点说明绿色供应链相关的阶段性进展，后续版本将根据客户反馈和监管变化及时修订术语与案例，使公开资料既可读又具备可审计和可追溯属性。</w:t>
      </w:r>
    </w:p>
    <w:p>
      <w:r>
        <w:t>3. 治理进展</w:t>
      </w:r>
    </w:p>
    <w:p>
      <w:r>
        <w:t>本报告围绕2024年度经营与治理实践编制，覆盖客户服务、供应链协同、绿色办公与员工发展等核心议题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