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v3.0</w:t>
      </w:r>
    </w:p>
    <w:p>
      <w:r>
        <w:t>摘要</w:t>
      </w:r>
    </w:p>
    <w:p>
      <w:r>
        <w:t>产品使用手册结合售前、实施和运维团队的对外交付经验，总结了部署边界、能力范围和常见风险提示，后续版本将根据客户反馈和监管变化及时修订术语与案例，使公开资料既可读又具备可审计和可追溯属性。</w:t>
      </w:r>
    </w:p>
    <w:p>
      <w:r>
        <w:t>1. 后续规划</w:t>
      </w:r>
    </w:p>
    <w:p>
      <w:r>
        <w:t>本报告围绕2023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p>
      <w:r>
        <w:t>2. 治理进展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3. 运营成效</w:t>
      </w:r>
    </w:p>
    <w:p>
      <w:r>
        <w:t>产品使用手册结合售前、实施和运维团队的对外交付经验，总结了部署边界、能力范围和常见风险提示，材料明确区分已落地措施与规划性安排，避免外部读者将阶段性目标误解为已承诺交付的最终结果。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